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5" w:type="dxa"/>
        <w:tblBorders>
          <w:top w:val="single" w:sz="12" w:space="0" w:color="37C6D1"/>
          <w:bottom w:val="single" w:sz="12" w:space="0" w:color="37C6D1"/>
        </w:tblBorders>
        <w:shd w:val="clear" w:color="auto" w:fill="66D4DC"/>
        <w:tblLook w:val="04A0" w:firstRow="1" w:lastRow="0" w:firstColumn="1" w:lastColumn="0" w:noHBand="0" w:noVBand="1"/>
      </w:tblPr>
      <w:tblGrid>
        <w:gridCol w:w="9085"/>
      </w:tblGrid>
      <w:tr w:rsidR="005D6E6C" w:rsidRPr="009278A0" w14:paraId="7AA66A45" w14:textId="77777777" w:rsidTr="006F32C0">
        <w:trPr>
          <w:trHeight w:val="1590"/>
        </w:trPr>
        <w:tc>
          <w:tcPr>
            <w:tcW w:w="9085" w:type="dxa"/>
            <w:shd w:val="clear" w:color="auto" w:fill="66D4DC"/>
          </w:tcPr>
          <w:p w14:paraId="56213613" w14:textId="1C96303D" w:rsidR="005D6E6C" w:rsidRPr="009278A0" w:rsidRDefault="005D6E6C" w:rsidP="00372BF1">
            <w:pPr>
              <w:spacing w:before="8" w:line="140" w:lineRule="exact"/>
              <w:rPr>
                <w:sz w:val="14"/>
                <w:szCs w:val="14"/>
              </w:rPr>
            </w:pPr>
          </w:p>
          <w:p w14:paraId="65CF8EDF" w14:textId="268A4740" w:rsidR="002628A9" w:rsidRPr="006F32C0" w:rsidRDefault="002628A9" w:rsidP="0036154F">
            <w:pPr>
              <w:spacing w:line="276" w:lineRule="auto"/>
              <w:ind w:left="1" w:right="425" w:hanging="3"/>
              <w:jc w:val="center"/>
              <w:rPr>
                <w:rFonts w:eastAsia="Calisto MT"/>
                <w:b/>
                <w:bCs/>
                <w:color w:val="000000" w:themeColor="text1"/>
                <w:spacing w:val="-4"/>
                <w:sz w:val="28"/>
                <w:szCs w:val="28"/>
              </w:rPr>
            </w:pPr>
            <w:r w:rsidRPr="006F32C0">
              <w:rPr>
                <w:rFonts w:eastAsia="Calisto MT"/>
                <w:b/>
                <w:bCs/>
                <w:color w:val="000000" w:themeColor="text1"/>
                <w:spacing w:val="-4"/>
                <w:sz w:val="28"/>
                <w:szCs w:val="28"/>
              </w:rPr>
              <w:t>JU</w:t>
            </w:r>
            <w:r w:rsidR="00277E7E">
              <w:rPr>
                <w:rFonts w:eastAsia="Calisto MT"/>
                <w:b/>
                <w:bCs/>
                <w:color w:val="000000" w:themeColor="text1"/>
                <w:spacing w:val="-4"/>
                <w:sz w:val="28"/>
                <w:szCs w:val="28"/>
              </w:rPr>
              <w:t>KAH</w:t>
            </w:r>
            <w:r w:rsidRPr="006F32C0">
              <w:rPr>
                <w:rFonts w:eastAsia="Calisto MT"/>
                <w:b/>
                <w:bCs/>
                <w:color w:val="000000" w:themeColor="text1"/>
                <w:spacing w:val="-4"/>
                <w:sz w:val="28"/>
                <w:szCs w:val="28"/>
              </w:rPr>
              <w:t xml:space="preserve">U: </w:t>
            </w:r>
            <w:proofErr w:type="spellStart"/>
            <w:r w:rsidRPr="006F32C0">
              <w:rPr>
                <w:rFonts w:eastAsia="Calisto MT"/>
                <w:b/>
                <w:bCs/>
                <w:color w:val="000000" w:themeColor="text1"/>
                <w:spacing w:val="-4"/>
                <w:sz w:val="28"/>
                <w:szCs w:val="28"/>
              </w:rPr>
              <w:t>Jurnal</w:t>
            </w:r>
            <w:proofErr w:type="spellEnd"/>
            <w:r w:rsidRPr="006F32C0">
              <w:rPr>
                <w:rFonts w:eastAsia="Calisto MT"/>
                <w:b/>
                <w:bCs/>
                <w:color w:val="000000" w:themeColor="text1"/>
                <w:spacing w:val="-4"/>
                <w:sz w:val="28"/>
                <w:szCs w:val="28"/>
              </w:rPr>
              <w:t xml:space="preserve"> Kajian Hukum</w:t>
            </w:r>
          </w:p>
          <w:p w14:paraId="4CB5FD0A" w14:textId="1FCF6118" w:rsidR="0036154F" w:rsidRPr="006F32C0" w:rsidRDefault="0036154F" w:rsidP="0036154F">
            <w:pPr>
              <w:spacing w:line="276" w:lineRule="auto"/>
              <w:ind w:left="0" w:right="425" w:hanging="2"/>
              <w:jc w:val="center"/>
              <w:rPr>
                <w:color w:val="000000" w:themeColor="text1"/>
              </w:rPr>
            </w:pPr>
            <w:r w:rsidRPr="006F32C0">
              <w:rPr>
                <w:color w:val="000000" w:themeColor="text1"/>
              </w:rPr>
              <w:t xml:space="preserve">Volume 1, Number </w:t>
            </w:r>
            <w:r w:rsidR="00B5527B">
              <w:rPr>
                <w:color w:val="000000" w:themeColor="text1"/>
              </w:rPr>
              <w:t>2</w:t>
            </w:r>
            <w:r w:rsidRPr="006F32C0">
              <w:rPr>
                <w:color w:val="000000" w:themeColor="text1"/>
              </w:rPr>
              <w:t xml:space="preserve">, </w:t>
            </w:r>
            <w:proofErr w:type="spellStart"/>
            <w:r w:rsidR="00241663">
              <w:rPr>
                <w:color w:val="000000" w:themeColor="text1"/>
              </w:rPr>
              <w:t>Juni</w:t>
            </w:r>
            <w:proofErr w:type="spellEnd"/>
            <w:r w:rsidR="00241663">
              <w:rPr>
                <w:color w:val="000000" w:themeColor="text1"/>
              </w:rPr>
              <w:t xml:space="preserve"> </w:t>
            </w:r>
            <w:r w:rsidRPr="006F32C0">
              <w:rPr>
                <w:color w:val="000000" w:themeColor="text1"/>
              </w:rPr>
              <w:t xml:space="preserve">2025. pp. </w:t>
            </w:r>
            <w:r w:rsidR="004C1086">
              <w:rPr>
                <w:color w:val="000000" w:themeColor="text1"/>
              </w:rPr>
              <w:t>84</w:t>
            </w:r>
            <w:r w:rsidR="00D44399" w:rsidRPr="006F32C0">
              <w:rPr>
                <w:color w:val="000000" w:themeColor="text1"/>
              </w:rPr>
              <w:t>-</w:t>
            </w:r>
            <w:r w:rsidR="004C1086">
              <w:rPr>
                <w:color w:val="000000" w:themeColor="text1"/>
              </w:rPr>
              <w:t>92</w:t>
            </w:r>
          </w:p>
          <w:p w14:paraId="7CB95427" w14:textId="67BE88F7" w:rsidR="0036154F" w:rsidRPr="006F32C0" w:rsidRDefault="0036154F" w:rsidP="0036154F">
            <w:pPr>
              <w:spacing w:line="276" w:lineRule="auto"/>
              <w:ind w:leftChars="0" w:left="0" w:right="424" w:firstLineChars="0" w:firstLine="0"/>
              <w:jc w:val="center"/>
              <w:rPr>
                <w:color w:val="000000" w:themeColor="text1"/>
              </w:rPr>
            </w:pPr>
            <w:r w:rsidRPr="006F32C0">
              <w:rPr>
                <w:color w:val="000000" w:themeColor="text1"/>
              </w:rPr>
              <w:t xml:space="preserve">e-ISSN </w:t>
            </w:r>
            <w:r w:rsidR="0049516A">
              <w:rPr>
                <w:color w:val="000000" w:themeColor="text1"/>
              </w:rPr>
              <w:t>3109</w:t>
            </w:r>
            <w:r w:rsidR="0049516A" w:rsidRPr="006F32C0">
              <w:rPr>
                <w:color w:val="000000" w:themeColor="text1"/>
              </w:rPr>
              <w:t>-</w:t>
            </w:r>
            <w:r w:rsidR="0049516A">
              <w:rPr>
                <w:color w:val="000000" w:themeColor="text1"/>
              </w:rPr>
              <w:t>614</w:t>
            </w:r>
            <w:r w:rsidR="0049516A" w:rsidRPr="006F32C0">
              <w:rPr>
                <w:color w:val="000000" w:themeColor="text1"/>
              </w:rPr>
              <w:t>X</w:t>
            </w:r>
          </w:p>
          <w:p w14:paraId="74980EEF" w14:textId="225CCE2F" w:rsidR="0095613B" w:rsidRPr="006F32C0" w:rsidRDefault="0095613B" w:rsidP="0095613B">
            <w:pPr>
              <w:spacing w:line="276" w:lineRule="auto"/>
              <w:ind w:left="0" w:right="425" w:hanging="2"/>
              <w:jc w:val="center"/>
              <w:rPr>
                <w:rFonts w:eastAsia="Calisto MT"/>
                <w:color w:val="000000" w:themeColor="text1"/>
                <w:sz w:val="24"/>
                <w:szCs w:val="24"/>
              </w:rPr>
            </w:pPr>
            <w:r w:rsidRPr="006F32C0">
              <w:rPr>
                <w:rFonts w:eastAsia="Calisto MT"/>
                <w:color w:val="000000" w:themeColor="text1"/>
                <w:sz w:val="24"/>
                <w:szCs w:val="24"/>
              </w:rPr>
              <w:t>e</w:t>
            </w:r>
            <w:r w:rsidR="00667F28" w:rsidRPr="006F32C0">
              <w:rPr>
                <w:rFonts w:eastAsia="Calisto MT"/>
                <w:color w:val="000000" w:themeColor="text1"/>
                <w:sz w:val="24"/>
                <w:szCs w:val="24"/>
              </w:rPr>
              <w:t>-</w:t>
            </w:r>
            <w:r w:rsidRPr="006F32C0">
              <w:rPr>
                <w:rFonts w:eastAsia="Calisto MT"/>
                <w:color w:val="000000" w:themeColor="text1"/>
                <w:sz w:val="24"/>
                <w:szCs w:val="24"/>
              </w:rPr>
              <w:t>journal.nusantaraglobal.ac.id/</w:t>
            </w:r>
            <w:proofErr w:type="spellStart"/>
            <w:r w:rsidRPr="006F32C0">
              <w:rPr>
                <w:rFonts w:eastAsia="Calisto MT"/>
                <w:color w:val="000000" w:themeColor="text1"/>
                <w:sz w:val="24"/>
                <w:szCs w:val="24"/>
              </w:rPr>
              <w:t>index.php</w:t>
            </w:r>
            <w:proofErr w:type="spellEnd"/>
            <w:r w:rsidRPr="006F32C0">
              <w:rPr>
                <w:rFonts w:eastAsia="Calisto MT"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0B1FE0" w:rsidRPr="006F32C0">
              <w:rPr>
                <w:rFonts w:eastAsia="Calisto MT"/>
                <w:color w:val="000000" w:themeColor="text1"/>
                <w:sz w:val="24"/>
                <w:szCs w:val="24"/>
              </w:rPr>
              <w:t>j</w:t>
            </w:r>
            <w:r w:rsidR="002628A9" w:rsidRPr="006F32C0">
              <w:rPr>
                <w:rFonts w:eastAsia="Calisto MT"/>
                <w:color w:val="000000" w:themeColor="text1"/>
                <w:sz w:val="24"/>
                <w:szCs w:val="24"/>
              </w:rPr>
              <w:t>u</w:t>
            </w:r>
            <w:r w:rsidR="00277E7E">
              <w:rPr>
                <w:rFonts w:eastAsia="Calisto MT"/>
                <w:color w:val="000000" w:themeColor="text1"/>
                <w:sz w:val="24"/>
                <w:szCs w:val="24"/>
              </w:rPr>
              <w:t>kahu</w:t>
            </w:r>
            <w:proofErr w:type="spellEnd"/>
            <w:r w:rsidRPr="006F32C0">
              <w:rPr>
                <w:rFonts w:eastAsia="Calisto MT"/>
                <w:color w:val="000000" w:themeColor="text1"/>
                <w:sz w:val="24"/>
                <w:szCs w:val="24"/>
              </w:rPr>
              <w:t>/index</w:t>
            </w:r>
          </w:p>
          <w:p w14:paraId="5999C1A3" w14:textId="119307B2" w:rsidR="005D6E6C" w:rsidRPr="009278A0" w:rsidRDefault="005D6E6C" w:rsidP="0036154F">
            <w:pPr>
              <w:spacing w:line="276" w:lineRule="auto"/>
              <w:ind w:left="0" w:right="425" w:hanging="2"/>
              <w:jc w:val="center"/>
            </w:pPr>
            <w:r w:rsidRPr="006F32C0">
              <w:rPr>
                <w:rFonts w:eastAsia="Calisto MT"/>
                <w:color w:val="000000" w:themeColor="text1"/>
                <w:lang w:val="en-US"/>
              </w:rPr>
              <w:t xml:space="preserve">DOI: </w:t>
            </w:r>
            <w:r w:rsidR="00202014" w:rsidRPr="00202014">
              <w:t>https://doi.org/10.55681/ijereg.v1i1.17</w:t>
            </w:r>
            <w:r w:rsidR="004C1086">
              <w:t>7</w:t>
            </w:r>
          </w:p>
        </w:tc>
      </w:tr>
    </w:tbl>
    <w:p w14:paraId="3BBD4DC9" w14:textId="77777777" w:rsidR="00202014" w:rsidRDefault="00202014" w:rsidP="00202014">
      <w:pPr>
        <w:pStyle w:val="ListParagraph"/>
        <w:ind w:left="1" w:hanging="3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7C7DC2F5" w14:textId="77777777" w:rsidR="004C1086" w:rsidRDefault="004C1086" w:rsidP="004C1086">
      <w:pPr>
        <w:pStyle w:val="ListParagraph"/>
        <w:ind w:left="1" w:hanging="3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proofErr w:type="spellStart"/>
      <w:r w:rsidRPr="003342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Analisis</w:t>
      </w:r>
      <w:proofErr w:type="spellEnd"/>
      <w:r w:rsidRPr="003342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proofErr w:type="spellStart"/>
      <w:r w:rsidRPr="003342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Yuridis</w:t>
      </w:r>
      <w:proofErr w:type="spellEnd"/>
      <w:r w:rsidRPr="003342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proofErr w:type="spellStart"/>
      <w:r w:rsidRPr="003342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Tindak</w:t>
      </w:r>
      <w:proofErr w:type="spellEnd"/>
      <w:r w:rsidRPr="003342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proofErr w:type="spellStart"/>
      <w:r w:rsidRPr="003342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Pidana</w:t>
      </w:r>
      <w:proofErr w:type="spellEnd"/>
      <w:r w:rsidRPr="003342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proofErr w:type="spellStart"/>
      <w:r w:rsidRPr="003342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Penipuan</w:t>
      </w:r>
      <w:proofErr w:type="spellEnd"/>
      <w:r w:rsidRPr="003342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proofErr w:type="spellStart"/>
      <w:r w:rsidRPr="003342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melalui</w:t>
      </w:r>
      <w:proofErr w:type="spellEnd"/>
      <w:r w:rsidRPr="003342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Media </w:t>
      </w:r>
      <w:proofErr w:type="spellStart"/>
      <w:r w:rsidRPr="003342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Elektronik</w:t>
      </w:r>
      <w:proofErr w:type="spellEnd"/>
    </w:p>
    <w:p w14:paraId="71A49C2C" w14:textId="05591589" w:rsidR="00F12CF8" w:rsidRPr="0049516A" w:rsidRDefault="004C1086" w:rsidP="00BA6EE4">
      <w:pPr>
        <w:pBdr>
          <w:top w:val="nil"/>
          <w:left w:val="nil"/>
          <w:bottom w:val="nil"/>
          <w:right w:val="nil"/>
          <w:between w:val="nil"/>
        </w:pBdr>
        <w:spacing w:before="240"/>
        <w:ind w:left="0" w:hanging="2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Ansari</w:t>
      </w:r>
      <w:r w:rsidR="00E2416B" w:rsidRPr="00E2416B">
        <w:rPr>
          <w:rFonts w:eastAsia="Calibri"/>
          <w:b/>
          <w:sz w:val="24"/>
          <w:szCs w:val="24"/>
          <w:vertAlign w:val="superscript"/>
        </w:rPr>
        <w:t>1</w:t>
      </w:r>
      <w:r w:rsidR="0049516A" w:rsidRPr="0049516A">
        <w:rPr>
          <w:rFonts w:eastAsia="Calibri"/>
          <w:b/>
          <w:sz w:val="24"/>
          <w:szCs w:val="24"/>
          <w:vertAlign w:val="superscript"/>
        </w:rPr>
        <w:t>*</w:t>
      </w:r>
    </w:p>
    <w:p w14:paraId="64EE388F" w14:textId="4DF7B57F" w:rsidR="009528B9" w:rsidRPr="0049516A" w:rsidRDefault="00DA13E1" w:rsidP="000446C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eastAsia="Lustria"/>
          <w:color w:val="000000"/>
          <w:sz w:val="22"/>
          <w:szCs w:val="22"/>
        </w:rPr>
      </w:pPr>
      <w:r w:rsidRPr="0062690E">
        <w:rPr>
          <w:rFonts w:eastAsia="Calibri"/>
          <w:b/>
          <w:sz w:val="22"/>
          <w:szCs w:val="22"/>
          <w:vertAlign w:val="superscript"/>
        </w:rPr>
        <w:t>1</w:t>
      </w:r>
      <w:r w:rsidR="0049516A">
        <w:rPr>
          <w:rFonts w:eastAsia="Calibri"/>
          <w:b/>
          <w:sz w:val="22"/>
          <w:szCs w:val="22"/>
          <w:vertAlign w:val="superscript"/>
        </w:rPr>
        <w:t>*</w:t>
      </w:r>
      <w:r w:rsidR="0049516A">
        <w:rPr>
          <w:rFonts w:eastAsia="Calibri"/>
          <w:b/>
          <w:sz w:val="22"/>
          <w:szCs w:val="22"/>
        </w:rPr>
        <w:t xml:space="preserve">Universitas </w:t>
      </w:r>
      <w:proofErr w:type="spellStart"/>
      <w:r w:rsidR="0049516A">
        <w:rPr>
          <w:rFonts w:eastAsia="Calibri"/>
          <w:b/>
          <w:sz w:val="22"/>
          <w:szCs w:val="22"/>
        </w:rPr>
        <w:t>Mataram</w:t>
      </w:r>
      <w:proofErr w:type="spellEnd"/>
      <w:r w:rsidR="0049516A">
        <w:rPr>
          <w:rFonts w:eastAsia="Calibri"/>
          <w:b/>
          <w:sz w:val="22"/>
          <w:szCs w:val="22"/>
        </w:rPr>
        <w:t>, Indonesia</w:t>
      </w:r>
    </w:p>
    <w:p w14:paraId="0A3B1A65" w14:textId="6E3203E0" w:rsidR="00F05847" w:rsidRPr="00991FA2" w:rsidRDefault="006F7783" w:rsidP="00991FA2">
      <w:pPr>
        <w:spacing w:before="35" w:after="240" w:line="249" w:lineRule="auto"/>
        <w:ind w:left="0" w:right="73" w:hanging="2"/>
        <w:jc w:val="center"/>
        <w:rPr>
          <w:rFonts w:eastAsia="Lustria"/>
          <w:i/>
          <w:iCs/>
          <w:color w:val="000000"/>
          <w:sz w:val="22"/>
          <w:szCs w:val="22"/>
        </w:rPr>
      </w:pPr>
      <w:r w:rsidRPr="00991FA2">
        <w:rPr>
          <w:rFonts w:eastAsia="Calibri"/>
          <w:i/>
          <w:iCs/>
          <w:color w:val="231F20"/>
          <w:sz w:val="22"/>
          <w:szCs w:val="22"/>
        </w:rPr>
        <w:t>*</w:t>
      </w:r>
      <w:r w:rsidRPr="00991FA2">
        <w:rPr>
          <w:rFonts w:eastAsia="Lustria"/>
          <w:i/>
          <w:iCs/>
          <w:sz w:val="22"/>
          <w:szCs w:val="22"/>
        </w:rPr>
        <w:t xml:space="preserve">Corresponding author </w:t>
      </w:r>
      <w:r w:rsidRPr="00991FA2">
        <w:rPr>
          <w:rFonts w:eastAsia="Lustria"/>
          <w:i/>
          <w:iCs/>
          <w:color w:val="000000"/>
          <w:sz w:val="22"/>
          <w:szCs w:val="22"/>
        </w:rPr>
        <w:t xml:space="preserve">email: </w:t>
      </w:r>
      <w:r w:rsidR="004C1086">
        <w:rPr>
          <w:rFonts w:eastAsia="Lustria"/>
          <w:i/>
          <w:iCs/>
          <w:color w:val="000000"/>
          <w:sz w:val="22"/>
          <w:szCs w:val="22"/>
        </w:rPr>
        <w:t>ansari1</w:t>
      </w:r>
      <w:r w:rsidR="0049516A" w:rsidRPr="005119DC">
        <w:rPr>
          <w:sz w:val="22"/>
          <w:szCs w:val="22"/>
        </w:rPr>
        <w:t>2</w:t>
      </w:r>
      <w:r w:rsidR="00202014">
        <w:rPr>
          <w:sz w:val="22"/>
          <w:szCs w:val="22"/>
        </w:rPr>
        <w:t>3</w:t>
      </w:r>
      <w:r w:rsidR="0049516A" w:rsidRPr="005119DC">
        <w:rPr>
          <w:sz w:val="22"/>
          <w:szCs w:val="22"/>
        </w:rPr>
        <w:t>@gmail.com</w:t>
      </w:r>
    </w:p>
    <w:tbl>
      <w:tblPr>
        <w:tblStyle w:val="a6"/>
        <w:tblW w:w="9076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06"/>
        <w:gridCol w:w="250"/>
        <w:gridCol w:w="6520"/>
      </w:tblGrid>
      <w:tr w:rsidR="009528B9" w:rsidRPr="00D30F20" w14:paraId="1150B5F7" w14:textId="77777777" w:rsidTr="00197515">
        <w:tc>
          <w:tcPr>
            <w:tcW w:w="2306" w:type="dxa"/>
          </w:tcPr>
          <w:p w14:paraId="78DA7CE1" w14:textId="750AE21C" w:rsidR="009528B9" w:rsidRPr="00D30F20" w:rsidRDefault="00DA13E1" w:rsidP="00B90575">
            <w:pPr>
              <w:spacing w:before="60" w:after="60"/>
              <w:ind w:leftChars="-61" w:left="-120" w:hanging="2"/>
              <w:jc w:val="both"/>
              <w:rPr>
                <w:rFonts w:eastAsia="Lustria"/>
                <w:sz w:val="24"/>
                <w:szCs w:val="24"/>
              </w:rPr>
            </w:pPr>
            <w:r w:rsidRPr="00D30F20">
              <w:rPr>
                <w:rFonts w:eastAsia="Lustria"/>
                <w:b/>
                <w:sz w:val="24"/>
                <w:szCs w:val="24"/>
              </w:rPr>
              <w:t xml:space="preserve">Article </w:t>
            </w:r>
            <w:r w:rsidR="0066211B" w:rsidRPr="00D30F20">
              <w:rPr>
                <w:rFonts w:eastAsia="Lustria"/>
                <w:b/>
                <w:sz w:val="24"/>
                <w:szCs w:val="24"/>
              </w:rPr>
              <w:t>Info</w:t>
            </w:r>
          </w:p>
        </w:tc>
        <w:tc>
          <w:tcPr>
            <w:tcW w:w="250" w:type="dxa"/>
          </w:tcPr>
          <w:p w14:paraId="70F5CAC2" w14:textId="77777777" w:rsidR="009528B9" w:rsidRPr="00D30F20" w:rsidRDefault="009528B9">
            <w:pPr>
              <w:spacing w:before="120"/>
              <w:ind w:left="0" w:hanging="2"/>
              <w:jc w:val="both"/>
              <w:rPr>
                <w:rFonts w:eastAsia="Lustria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20705A9B" w14:textId="6D6F7DF5" w:rsidR="009528B9" w:rsidRPr="00197515" w:rsidRDefault="00197515" w:rsidP="00197515">
            <w:pPr>
              <w:spacing w:line="240" w:lineRule="auto"/>
              <w:ind w:leftChars="0" w:left="2" w:right="278" w:hanging="2"/>
              <w:rPr>
                <w:rFonts w:eastAsia="Lustria"/>
                <w:color w:val="000000"/>
              </w:rPr>
            </w:pPr>
            <w:r w:rsidRPr="00197515">
              <w:rPr>
                <w:rFonts w:eastAsia="Lustria"/>
                <w:b/>
                <w:color w:val="000000"/>
              </w:rPr>
              <w:t>ABSTRACT</w:t>
            </w:r>
          </w:p>
        </w:tc>
      </w:tr>
      <w:tr w:rsidR="009528B9" w:rsidRPr="00D30F20" w14:paraId="3629B9B5" w14:textId="77777777" w:rsidTr="00083585">
        <w:trPr>
          <w:trHeight w:val="1260"/>
        </w:trPr>
        <w:tc>
          <w:tcPr>
            <w:tcW w:w="2306" w:type="dxa"/>
          </w:tcPr>
          <w:p w14:paraId="60618D69" w14:textId="77777777" w:rsidR="009528B9" w:rsidRPr="00D30F20" w:rsidRDefault="00DA13E1" w:rsidP="00E8199B">
            <w:pPr>
              <w:spacing w:before="120" w:after="120"/>
              <w:ind w:leftChars="-61" w:left="-120" w:hanging="2"/>
              <w:jc w:val="both"/>
              <w:rPr>
                <w:rFonts w:eastAsia="Lustria"/>
                <w:color w:val="FF0000"/>
                <w:sz w:val="18"/>
                <w:szCs w:val="18"/>
              </w:rPr>
            </w:pPr>
            <w:r w:rsidRPr="00D30F20">
              <w:rPr>
                <w:rFonts w:eastAsia="Lustria"/>
                <w:b/>
                <w:i/>
                <w:sz w:val="18"/>
                <w:szCs w:val="18"/>
              </w:rPr>
              <w:t xml:space="preserve">Article </w:t>
            </w:r>
            <w:r w:rsidRPr="00D30F20">
              <w:rPr>
                <w:rFonts w:eastAsia="Lustria"/>
                <w:b/>
                <w:i/>
                <w:color w:val="000000"/>
                <w:sz w:val="18"/>
                <w:szCs w:val="18"/>
              </w:rPr>
              <w:t>history:</w:t>
            </w:r>
          </w:p>
          <w:p w14:paraId="197AD654" w14:textId="215D6038" w:rsidR="009528B9" w:rsidRDefault="00DA13E1" w:rsidP="00E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61" w:left="-120" w:hanging="2"/>
              <w:rPr>
                <w:rFonts w:eastAsia="Lustria"/>
                <w:sz w:val="18"/>
                <w:szCs w:val="18"/>
              </w:rPr>
            </w:pPr>
            <w:r w:rsidRPr="00D30F20">
              <w:rPr>
                <w:rFonts w:eastAsia="Lustria"/>
                <w:color w:val="000000"/>
                <w:sz w:val="18"/>
                <w:szCs w:val="18"/>
              </w:rPr>
              <w:t>Received</w:t>
            </w:r>
            <w:r w:rsidRPr="00D30F20">
              <w:rPr>
                <w:rFonts w:eastAsia="Lustria"/>
                <w:color w:val="FF0000"/>
                <w:sz w:val="18"/>
                <w:szCs w:val="18"/>
              </w:rPr>
              <w:t xml:space="preserve"> </w:t>
            </w:r>
            <w:r w:rsidRPr="00D30F20">
              <w:rPr>
                <w:rFonts w:eastAsia="Lustria"/>
                <w:color w:val="000000"/>
                <w:sz w:val="18"/>
                <w:szCs w:val="18"/>
              </w:rPr>
              <w:t>M</w:t>
            </w:r>
            <w:r w:rsidRPr="00D30F20">
              <w:rPr>
                <w:rFonts w:eastAsia="Lustria"/>
                <w:sz w:val="18"/>
                <w:szCs w:val="18"/>
              </w:rPr>
              <w:t>onth</w:t>
            </w:r>
            <w:r w:rsidRPr="00D30F20">
              <w:rPr>
                <w:rFonts w:eastAsia="Lustria"/>
                <w:color w:val="000000"/>
                <w:sz w:val="18"/>
                <w:szCs w:val="18"/>
              </w:rPr>
              <w:t xml:space="preserve"> </w:t>
            </w:r>
            <w:r w:rsidR="00202014">
              <w:rPr>
                <w:rFonts w:eastAsia="Lustria"/>
                <w:sz w:val="18"/>
                <w:szCs w:val="18"/>
              </w:rPr>
              <w:t>0</w:t>
            </w:r>
            <w:r w:rsidR="00661CB8">
              <w:rPr>
                <w:rFonts w:eastAsia="Lustria"/>
                <w:sz w:val="18"/>
                <w:szCs w:val="18"/>
              </w:rPr>
              <w:t>9</w:t>
            </w:r>
            <w:r w:rsidRPr="00D30F20">
              <w:rPr>
                <w:rFonts w:eastAsia="Lustria"/>
                <w:color w:val="000000"/>
                <w:sz w:val="18"/>
                <w:szCs w:val="18"/>
              </w:rPr>
              <w:t xml:space="preserve">, </w:t>
            </w:r>
            <w:r w:rsidR="00202014">
              <w:rPr>
                <w:rFonts w:eastAsia="Lustria"/>
                <w:sz w:val="18"/>
                <w:szCs w:val="18"/>
              </w:rPr>
              <w:t>2026</w:t>
            </w:r>
          </w:p>
          <w:p w14:paraId="0D6CF434" w14:textId="1794E5B3" w:rsidR="00C12BEF" w:rsidRPr="00D30F20" w:rsidRDefault="00C12BEF" w:rsidP="00E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61" w:left="-120" w:hanging="2"/>
              <w:rPr>
                <w:rFonts w:eastAsia="Lustria"/>
                <w:color w:val="FF0000"/>
                <w:sz w:val="18"/>
                <w:szCs w:val="18"/>
              </w:rPr>
            </w:pPr>
            <w:r>
              <w:rPr>
                <w:rFonts w:eastAsia="Lustria"/>
                <w:sz w:val="18"/>
                <w:szCs w:val="18"/>
              </w:rPr>
              <w:t xml:space="preserve">Revised Month </w:t>
            </w:r>
            <w:r w:rsidR="00202014">
              <w:rPr>
                <w:rFonts w:eastAsia="Lustria"/>
                <w:sz w:val="18"/>
                <w:szCs w:val="18"/>
              </w:rPr>
              <w:t>24</w:t>
            </w:r>
            <w:r>
              <w:rPr>
                <w:rFonts w:eastAsia="Lustria"/>
                <w:sz w:val="18"/>
                <w:szCs w:val="18"/>
              </w:rPr>
              <w:t xml:space="preserve">, </w:t>
            </w:r>
            <w:r w:rsidR="00202014">
              <w:rPr>
                <w:rFonts w:eastAsia="Lustria"/>
                <w:sz w:val="18"/>
                <w:szCs w:val="18"/>
              </w:rPr>
              <w:t>2026</w:t>
            </w:r>
          </w:p>
          <w:p w14:paraId="187D1E8C" w14:textId="7CB80CD0" w:rsidR="009528B9" w:rsidRPr="00D30F20" w:rsidRDefault="009528B9" w:rsidP="00E81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61" w:left="-120" w:hanging="2"/>
              <w:rPr>
                <w:rFonts w:eastAsia="Lustria"/>
                <w:color w:val="FF0000"/>
                <w:sz w:val="18"/>
                <w:szCs w:val="18"/>
              </w:rPr>
            </w:pPr>
          </w:p>
        </w:tc>
        <w:tc>
          <w:tcPr>
            <w:tcW w:w="250" w:type="dxa"/>
            <w:vMerge w:val="restart"/>
          </w:tcPr>
          <w:p w14:paraId="1309A605" w14:textId="659EA712" w:rsidR="009528B9" w:rsidRPr="00D30F20" w:rsidRDefault="009528B9">
            <w:pPr>
              <w:spacing w:before="120"/>
              <w:ind w:left="0" w:hanging="2"/>
              <w:jc w:val="both"/>
              <w:rPr>
                <w:rFonts w:eastAsia="Lustria"/>
                <w:sz w:val="22"/>
                <w:szCs w:val="22"/>
              </w:rPr>
            </w:pPr>
          </w:p>
        </w:tc>
        <w:tc>
          <w:tcPr>
            <w:tcW w:w="6520" w:type="dxa"/>
            <w:vMerge w:val="restart"/>
          </w:tcPr>
          <w:p w14:paraId="501A7A8E" w14:textId="77777777" w:rsidR="004C1086" w:rsidRPr="004C1086" w:rsidRDefault="004C1086" w:rsidP="004C1086">
            <w:pPr>
              <w:pStyle w:val="ListParagraph"/>
              <w:ind w:left="1" w:hanging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Perkembangan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teknologi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komunikasi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memberikan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kemudahan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aspek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kehidupan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termasuk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aktivitas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ekonomi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transaksi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digital.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Namun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kemajuan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tersebut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juga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memunculkan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kejahatan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siber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, salah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satunya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tindak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pidana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penipuan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melalui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media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elektronik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bertujuan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aspek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yuridis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tindak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pidana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penipuan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dilakukan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melalui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media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elektronik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mengkaji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penerapan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pelaku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peraturan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perundang-undangan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berlaku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di Indonesia.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digunakan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adalah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normatif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perundang-undangan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pendekatan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konseptual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. Data yang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digunakan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berupa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bahan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primer,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sekunder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tersier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dianalisis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kualitatif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melalui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studi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kepustakaan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. Hasil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menunjukkan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bahwa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tindak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pidana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penipuan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melalui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media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elektronik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diatur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Kitab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Hukum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Pidana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(KUHP) dan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2024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Kedua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atas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11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2008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Transaksi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Elektronik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Unsur-unsur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penipuan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dilakukan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melalui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media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elektronik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dasarnya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kesamaan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penipuan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konvensional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namun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sarana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teknologi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digital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media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pelaksanaannya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Penegakan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pelaku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menghadapi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kendala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lain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identifikasi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pelaku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pembuktian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digital,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keterbatasan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kemampuan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aparat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penegak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menangani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kejahatan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siber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semakin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kompleks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. Oleh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karena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itu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diperlukan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peningkatan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kapasitas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aparat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penegak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penguatan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regulasi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edukasi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mengenai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keamanan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digital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guna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mencegah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terjadinya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tindak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pidana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penipuan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melalui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media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elektronik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mewujudkan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kepastian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ruang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siber</w:t>
            </w:r>
            <w:proofErr w:type="spellEnd"/>
            <w:r w:rsidRPr="004C10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4F58370" w14:textId="6012E650" w:rsidR="0049516A" w:rsidRDefault="0049516A" w:rsidP="00202014">
            <w:pPr>
              <w:ind w:left="0" w:hanging="2"/>
              <w:jc w:val="both"/>
            </w:pPr>
            <w:r w:rsidRPr="00FA79AA">
              <w:t>.</w:t>
            </w:r>
          </w:p>
          <w:p w14:paraId="659C33A0" w14:textId="79C0334E" w:rsidR="00316FA0" w:rsidRPr="0049516A" w:rsidRDefault="00316FA0" w:rsidP="0049516A">
            <w:pPr>
              <w:ind w:leftChars="0" w:left="0" w:firstLineChars="0" w:firstLine="0"/>
              <w:jc w:val="both"/>
            </w:pPr>
          </w:p>
          <w:p w14:paraId="23BED1C5" w14:textId="2C9FD9C5" w:rsidR="00202014" w:rsidRDefault="00197515" w:rsidP="00202014">
            <w:pPr>
              <w:ind w:left="0" w:hanging="2"/>
              <w:jc w:val="both"/>
            </w:pPr>
            <w:r w:rsidRPr="00197515">
              <w:rPr>
                <w:rFonts w:eastAsia="Lustria"/>
                <w:b/>
                <w:color w:val="000000"/>
              </w:rPr>
              <w:t>Keywords</w:t>
            </w:r>
            <w:r>
              <w:rPr>
                <w:rFonts w:eastAsia="Lustria"/>
                <w:b/>
                <w:color w:val="000000"/>
              </w:rPr>
              <w:t xml:space="preserve">: </w:t>
            </w:r>
            <w:proofErr w:type="spellStart"/>
            <w:r w:rsidR="004C1086" w:rsidRPr="0033428E">
              <w:t>Analisis</w:t>
            </w:r>
            <w:proofErr w:type="spellEnd"/>
            <w:r w:rsidR="004C1086" w:rsidRPr="0033428E">
              <w:t xml:space="preserve"> </w:t>
            </w:r>
            <w:proofErr w:type="spellStart"/>
            <w:r w:rsidR="004C1086" w:rsidRPr="0033428E">
              <w:t>Yuridis</w:t>
            </w:r>
            <w:proofErr w:type="spellEnd"/>
            <w:r w:rsidR="004C1086" w:rsidRPr="0033428E">
              <w:t xml:space="preserve">, </w:t>
            </w:r>
            <w:proofErr w:type="spellStart"/>
            <w:r w:rsidR="004C1086" w:rsidRPr="0033428E">
              <w:t>Tindak</w:t>
            </w:r>
            <w:proofErr w:type="spellEnd"/>
            <w:r w:rsidR="004C1086" w:rsidRPr="0033428E">
              <w:t xml:space="preserve"> </w:t>
            </w:r>
            <w:proofErr w:type="spellStart"/>
            <w:r w:rsidR="004C1086" w:rsidRPr="0033428E">
              <w:t>Pidana</w:t>
            </w:r>
            <w:proofErr w:type="spellEnd"/>
            <w:r w:rsidR="004C1086" w:rsidRPr="0033428E">
              <w:t xml:space="preserve">, </w:t>
            </w:r>
            <w:proofErr w:type="spellStart"/>
            <w:r w:rsidR="004C1086" w:rsidRPr="0033428E">
              <w:t>Penipuan</w:t>
            </w:r>
            <w:proofErr w:type="spellEnd"/>
            <w:r w:rsidR="004C1086" w:rsidRPr="0033428E">
              <w:t xml:space="preserve">, Media </w:t>
            </w:r>
            <w:proofErr w:type="spellStart"/>
            <w:r w:rsidR="004C1086" w:rsidRPr="0033428E">
              <w:t>Elektronik</w:t>
            </w:r>
            <w:proofErr w:type="spellEnd"/>
          </w:p>
          <w:p w14:paraId="089423B0" w14:textId="6A8243DD" w:rsidR="00197515" w:rsidRPr="00197515" w:rsidRDefault="00197515" w:rsidP="00C964C4">
            <w:pPr>
              <w:spacing w:after="120"/>
              <w:ind w:left="0" w:hanging="2"/>
              <w:jc w:val="both"/>
              <w:rPr>
                <w:rFonts w:eastAsia="Lustria"/>
                <w:b/>
                <w:color w:val="000000"/>
                <w:sz w:val="24"/>
                <w:szCs w:val="24"/>
              </w:rPr>
            </w:pPr>
          </w:p>
        </w:tc>
      </w:tr>
      <w:tr w:rsidR="009528B9" w:rsidRPr="00D30F20" w14:paraId="66FB5EEB" w14:textId="77777777" w:rsidTr="00197515">
        <w:trPr>
          <w:trHeight w:val="858"/>
        </w:trPr>
        <w:tc>
          <w:tcPr>
            <w:tcW w:w="2306" w:type="dxa"/>
            <w:vMerge w:val="restart"/>
          </w:tcPr>
          <w:p w14:paraId="550D59B1" w14:textId="70A039DF" w:rsidR="009528B9" w:rsidRPr="00197515" w:rsidRDefault="009528B9" w:rsidP="00197515">
            <w:pPr>
              <w:ind w:leftChars="0" w:left="0" w:right="280" w:firstLineChars="0" w:firstLine="0"/>
              <w:jc w:val="both"/>
              <w:rPr>
                <w:rFonts w:eastAsia="Lustria"/>
                <w:sz w:val="18"/>
                <w:szCs w:val="18"/>
              </w:rPr>
            </w:pPr>
          </w:p>
        </w:tc>
        <w:tc>
          <w:tcPr>
            <w:tcW w:w="250" w:type="dxa"/>
            <w:vMerge/>
          </w:tcPr>
          <w:p w14:paraId="7C36BCEE" w14:textId="77777777" w:rsidR="009528B9" w:rsidRPr="00D30F20" w:rsidRDefault="0095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Lustria"/>
                <w:sz w:val="22"/>
                <w:szCs w:val="22"/>
              </w:rPr>
            </w:pPr>
          </w:p>
        </w:tc>
        <w:tc>
          <w:tcPr>
            <w:tcW w:w="6520" w:type="dxa"/>
            <w:vMerge/>
          </w:tcPr>
          <w:p w14:paraId="5AFAEA4C" w14:textId="77777777" w:rsidR="009528B9" w:rsidRPr="00D30F20" w:rsidRDefault="0095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Lustria"/>
                <w:sz w:val="22"/>
                <w:szCs w:val="22"/>
              </w:rPr>
            </w:pPr>
          </w:p>
        </w:tc>
      </w:tr>
      <w:tr w:rsidR="009528B9" w:rsidRPr="00D30F20" w14:paraId="19BBB791" w14:textId="77777777" w:rsidTr="00197515">
        <w:trPr>
          <w:trHeight w:val="714"/>
        </w:trPr>
        <w:tc>
          <w:tcPr>
            <w:tcW w:w="2306" w:type="dxa"/>
            <w:vMerge/>
          </w:tcPr>
          <w:p w14:paraId="54753A22" w14:textId="77777777" w:rsidR="009528B9" w:rsidRPr="00D30F20" w:rsidRDefault="0095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Lustria"/>
                <w:sz w:val="22"/>
                <w:szCs w:val="22"/>
              </w:rPr>
            </w:pPr>
          </w:p>
        </w:tc>
        <w:tc>
          <w:tcPr>
            <w:tcW w:w="250" w:type="dxa"/>
            <w:vMerge/>
          </w:tcPr>
          <w:p w14:paraId="3043FF3F" w14:textId="77777777" w:rsidR="009528B9" w:rsidRPr="00D30F20" w:rsidRDefault="009528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Lustria"/>
                <w:sz w:val="22"/>
                <w:szCs w:val="22"/>
              </w:rPr>
            </w:pPr>
          </w:p>
        </w:tc>
        <w:tc>
          <w:tcPr>
            <w:tcW w:w="6520" w:type="dxa"/>
          </w:tcPr>
          <w:p w14:paraId="4523BEFB" w14:textId="429CB86E" w:rsidR="0073705F" w:rsidRPr="00D30F20" w:rsidRDefault="007069FB" w:rsidP="00113320">
            <w:pPr>
              <w:spacing w:before="60"/>
              <w:ind w:leftChars="0" w:left="2" w:hanging="2"/>
              <w:jc w:val="right"/>
              <w:rPr>
                <w:rFonts w:eastAsia="Lustria"/>
                <w:sz w:val="14"/>
                <w:szCs w:val="14"/>
                <w:lang w:val="en-US"/>
              </w:rPr>
            </w:pPr>
            <w:r w:rsidRPr="00D30F20">
              <w:rPr>
                <w:rFonts w:eastAsia="Lustria"/>
                <w:sz w:val="16"/>
                <w:szCs w:val="16"/>
              </w:rPr>
              <w:t>Copyright</w:t>
            </w:r>
            <w:r w:rsidR="00113320" w:rsidRPr="00D30F20">
              <w:rPr>
                <w:rFonts w:eastAsia="Lustria"/>
                <w:sz w:val="16"/>
                <w:szCs w:val="16"/>
                <w:lang w:val="en-US"/>
              </w:rPr>
              <w:t xml:space="preserve"> </w:t>
            </w:r>
            <w:r w:rsidRPr="00D30F20">
              <w:rPr>
                <w:rFonts w:eastAsia="Lustria"/>
                <w:sz w:val="16"/>
                <w:szCs w:val="16"/>
              </w:rPr>
              <w:t>©</w:t>
            </w:r>
            <w:r w:rsidR="00113320" w:rsidRPr="00D30F20">
              <w:rPr>
                <w:rFonts w:eastAsia="Lustria"/>
                <w:sz w:val="16"/>
                <w:szCs w:val="16"/>
                <w:lang w:val="en-US"/>
              </w:rPr>
              <w:t xml:space="preserve"> </w:t>
            </w:r>
            <w:r w:rsidRPr="00D30F20">
              <w:rPr>
                <w:rFonts w:eastAsia="Lustria"/>
                <w:sz w:val="16"/>
                <w:szCs w:val="16"/>
              </w:rPr>
              <w:t>202</w:t>
            </w:r>
            <w:r w:rsidR="003E076A">
              <w:rPr>
                <w:rFonts w:eastAsia="Lustria"/>
                <w:sz w:val="16"/>
                <w:szCs w:val="16"/>
              </w:rPr>
              <w:t>5</w:t>
            </w:r>
            <w:r w:rsidR="00457277" w:rsidRPr="00D30F20">
              <w:rPr>
                <w:rFonts w:eastAsia="Lustria"/>
                <w:sz w:val="16"/>
                <w:szCs w:val="16"/>
                <w:lang w:val="en-US"/>
              </w:rPr>
              <w:t>,</w:t>
            </w:r>
            <w:r w:rsidR="00113320" w:rsidRPr="00D30F20">
              <w:rPr>
                <w:rFonts w:eastAsia="Lustria"/>
                <w:sz w:val="16"/>
                <w:szCs w:val="16"/>
                <w:lang w:val="en-US"/>
              </w:rPr>
              <w:t xml:space="preserve"> </w:t>
            </w:r>
            <w:r w:rsidR="00AE78C1" w:rsidRPr="00D30F20">
              <w:rPr>
                <w:rFonts w:eastAsia="Lustria"/>
                <w:sz w:val="16"/>
                <w:szCs w:val="16"/>
              </w:rPr>
              <w:t>The Author</w:t>
            </w:r>
            <w:r w:rsidR="00C65CA3" w:rsidRPr="00D30F20">
              <w:rPr>
                <w:rFonts w:eastAsia="Lustria"/>
                <w:sz w:val="16"/>
                <w:szCs w:val="16"/>
              </w:rPr>
              <w:t>(</w:t>
            </w:r>
            <w:r w:rsidR="00AE78C1" w:rsidRPr="00D30F20">
              <w:rPr>
                <w:rFonts w:eastAsia="Lustria"/>
                <w:sz w:val="16"/>
                <w:szCs w:val="16"/>
              </w:rPr>
              <w:t>s</w:t>
            </w:r>
            <w:r w:rsidR="00C65CA3" w:rsidRPr="00D30F20">
              <w:rPr>
                <w:rFonts w:eastAsia="Lustria"/>
                <w:sz w:val="16"/>
                <w:szCs w:val="16"/>
              </w:rPr>
              <w:t>)</w:t>
            </w:r>
            <w:r w:rsidR="00AE78C1" w:rsidRPr="00D30F20">
              <w:rPr>
                <w:rFonts w:eastAsia="Lustria"/>
                <w:sz w:val="16"/>
                <w:szCs w:val="16"/>
              </w:rPr>
              <w:t>.</w:t>
            </w:r>
          </w:p>
          <w:p w14:paraId="01C8051F" w14:textId="77777777" w:rsidR="0073705F" w:rsidRPr="00D30F20" w:rsidRDefault="0073705F" w:rsidP="0073705F">
            <w:pPr>
              <w:ind w:left="0" w:hanging="2"/>
              <w:jc w:val="right"/>
              <w:rPr>
                <w:rFonts w:eastAsia="Lustria"/>
                <w:sz w:val="16"/>
                <w:szCs w:val="16"/>
              </w:rPr>
            </w:pPr>
            <w:r w:rsidRPr="00D30F20">
              <w:rPr>
                <w:rFonts w:eastAsia="Lustria"/>
                <w:sz w:val="16"/>
                <w:szCs w:val="16"/>
              </w:rPr>
              <w:t>This is an open access article under the CC–BY-SA license</w:t>
            </w:r>
          </w:p>
          <w:p w14:paraId="3BA3E602" w14:textId="0150963D" w:rsidR="00197515" w:rsidRPr="00197515" w:rsidRDefault="0073705F" w:rsidP="00197515">
            <w:pPr>
              <w:spacing w:after="60"/>
              <w:ind w:left="0" w:hanging="2"/>
              <w:jc w:val="right"/>
              <w:rPr>
                <w:rFonts w:eastAsia="Lustria"/>
                <w:sz w:val="16"/>
                <w:szCs w:val="16"/>
              </w:rPr>
            </w:pPr>
            <w:r w:rsidRPr="00D30F20">
              <w:rPr>
                <w:rFonts w:eastAsia="Lustria"/>
                <w:noProof/>
                <w:color w:val="231F20"/>
                <w:sz w:val="16"/>
                <w:szCs w:val="16"/>
                <w:lang w:val="en-US"/>
              </w:rPr>
              <w:drawing>
                <wp:inline distT="0" distB="0" distL="0" distR="0" wp14:anchorId="187EC40B" wp14:editId="430EF72A">
                  <wp:extent cx="576000" cy="202908"/>
                  <wp:effectExtent l="0" t="0" r="0" b="6985"/>
                  <wp:docPr id="6" name="Picture 6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hlinkClick r:id="rId8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202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8B9" w:rsidRPr="00D30F20" w14:paraId="66B3EB59" w14:textId="77777777" w:rsidTr="00197515">
        <w:trPr>
          <w:trHeight w:val="58"/>
        </w:trPr>
        <w:tc>
          <w:tcPr>
            <w:tcW w:w="9072" w:type="dxa"/>
            <w:gridSpan w:val="3"/>
            <w:vAlign w:val="center"/>
          </w:tcPr>
          <w:p w14:paraId="2D7E2400" w14:textId="1DD46586" w:rsidR="004C1086" w:rsidRPr="006E4F55" w:rsidRDefault="006F7783" w:rsidP="004C1086">
            <w:pPr>
              <w:pStyle w:val="ListParagraph"/>
              <w:ind w:left="0" w:hanging="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902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position w:val="-1"/>
                <w:sz w:val="20"/>
                <w:szCs w:val="20"/>
                <w14:ligatures w14:val="none"/>
              </w:rPr>
              <w:t>How to cite:</w:t>
            </w:r>
            <w:r w:rsidRPr="0020201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position w:val="-1"/>
                <w:sz w:val="20"/>
                <w:szCs w:val="20"/>
                <w14:ligatures w14:val="none"/>
              </w:rPr>
              <w:t xml:space="preserve"> </w:t>
            </w:r>
            <w:r w:rsidR="006A6DA6" w:rsidRPr="0020201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position w:val="-1"/>
                <w:sz w:val="20"/>
                <w:szCs w:val="20"/>
                <w14:ligatures w14:val="none"/>
              </w:rPr>
              <w:t>Example</w:t>
            </w:r>
            <w:r w:rsidR="006A6DA6" w:rsidRPr="004C1086"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0"/>
                <w:szCs w:val="20"/>
                <w14:ligatures w14:val="none"/>
              </w:rPr>
              <w:t xml:space="preserve">: </w:t>
            </w:r>
            <w:r w:rsidR="004C1086" w:rsidRPr="004C1086"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0"/>
                <w:szCs w:val="20"/>
                <w14:ligatures w14:val="none"/>
              </w:rPr>
              <w:t>Ansari</w:t>
            </w:r>
            <w:r w:rsidR="0049516A" w:rsidRPr="004C1086"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0"/>
                <w:szCs w:val="20"/>
                <w14:ligatures w14:val="none"/>
              </w:rPr>
              <w:t xml:space="preserve">, </w:t>
            </w:r>
            <w:r w:rsidR="004C1086" w:rsidRPr="004C1086"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0"/>
                <w:szCs w:val="20"/>
                <w14:ligatures w14:val="none"/>
              </w:rPr>
              <w:t>A</w:t>
            </w:r>
            <w:r w:rsidR="0049516A" w:rsidRPr="004C1086"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0"/>
                <w:szCs w:val="20"/>
                <w14:ligatures w14:val="none"/>
              </w:rPr>
              <w:t>.</w:t>
            </w:r>
            <w:r w:rsidRPr="004C1086"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0"/>
                <w:szCs w:val="20"/>
                <w14:ligatures w14:val="none"/>
              </w:rPr>
              <w:t>(202</w:t>
            </w:r>
            <w:r w:rsidR="00202014" w:rsidRPr="004C1086">
              <w:rPr>
                <w:rFonts w:ascii="Times New Roman" w:eastAsia="Times New Roman" w:hAnsi="Times New Roman" w:cs="Times New Roman"/>
                <w:color w:val="000000"/>
                <w:kern w:val="0"/>
                <w:position w:val="-1"/>
                <w:sz w:val="20"/>
                <w:szCs w:val="20"/>
                <w14:ligatures w14:val="none"/>
              </w:rPr>
              <w:t>6</w:t>
            </w:r>
            <w:r w:rsidRPr="0020201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position w:val="-1"/>
                <w:sz w:val="20"/>
                <w:szCs w:val="20"/>
                <w14:ligatures w14:val="none"/>
              </w:rPr>
              <w:t xml:space="preserve">). </w:t>
            </w:r>
            <w:proofErr w:type="spellStart"/>
            <w:r w:rsidR="004C1086" w:rsidRPr="006E4F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Analisis</w:t>
            </w:r>
            <w:proofErr w:type="spellEnd"/>
            <w:r w:rsidR="004C1086" w:rsidRPr="006E4F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4C1086" w:rsidRPr="006E4F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Yuridis</w:t>
            </w:r>
            <w:proofErr w:type="spellEnd"/>
            <w:r w:rsidR="004C1086" w:rsidRPr="006E4F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4C1086" w:rsidRPr="006E4F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Tindak</w:t>
            </w:r>
            <w:proofErr w:type="spellEnd"/>
            <w:r w:rsidR="004C1086" w:rsidRPr="006E4F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4C1086" w:rsidRPr="006E4F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Pidana</w:t>
            </w:r>
            <w:proofErr w:type="spellEnd"/>
            <w:r w:rsidR="004C1086" w:rsidRPr="006E4F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4C1086" w:rsidRPr="006E4F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Penipuan</w:t>
            </w:r>
            <w:proofErr w:type="spellEnd"/>
            <w:r w:rsidR="004C1086" w:rsidRPr="006E4F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4C1086" w:rsidRPr="006E4F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melalui</w:t>
            </w:r>
            <w:proofErr w:type="spellEnd"/>
            <w:r w:rsidR="004C1086" w:rsidRPr="006E4F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Media </w:t>
            </w:r>
            <w:proofErr w:type="spellStart"/>
            <w:r w:rsidR="004C1086" w:rsidRPr="006E4F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Elektronik</w:t>
            </w:r>
            <w:proofErr w:type="spellEnd"/>
          </w:p>
          <w:p w14:paraId="517DEB2D" w14:textId="0CDEA4CA" w:rsidR="009528B9" w:rsidRPr="00290274" w:rsidRDefault="00290274" w:rsidP="00290274">
            <w:pPr>
              <w:pStyle w:val="ListParagraph"/>
              <w:ind w:left="0" w:hanging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902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position w:val="-1"/>
                <w:sz w:val="20"/>
                <w:szCs w:val="20"/>
                <w14:ligatures w14:val="none"/>
              </w:rPr>
              <w:t xml:space="preserve"> .</w:t>
            </w:r>
            <w:r w:rsidR="000D0C9E" w:rsidRPr="002902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position w:val="-1"/>
                <w:sz w:val="20"/>
                <w:szCs w:val="20"/>
                <w14:ligatures w14:val="none"/>
              </w:rPr>
              <w:t>Indonesian Journal of Educational Research and Evaluation Global</w:t>
            </w:r>
            <w:r w:rsidR="006F7783" w:rsidRPr="002902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position w:val="-1"/>
                <w:sz w:val="20"/>
                <w:szCs w:val="20"/>
                <w14:ligatures w14:val="none"/>
              </w:rPr>
              <w:t>, </w:t>
            </w:r>
            <w:r w:rsidR="00202014" w:rsidRPr="002902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position w:val="-1"/>
                <w:sz w:val="20"/>
                <w:szCs w:val="20"/>
                <w14:ligatures w14:val="none"/>
              </w:rPr>
              <w:t>2</w:t>
            </w:r>
            <w:r w:rsidR="006F7783" w:rsidRPr="002902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position w:val="-1"/>
                <w:sz w:val="20"/>
                <w:szCs w:val="20"/>
                <w14:ligatures w14:val="none"/>
              </w:rPr>
              <w:t xml:space="preserve">(1), </w:t>
            </w:r>
            <w:r w:rsidR="004C10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position w:val="-1"/>
                <w:sz w:val="20"/>
                <w:szCs w:val="20"/>
                <w14:ligatures w14:val="none"/>
              </w:rPr>
              <w:t>84</w:t>
            </w:r>
            <w:r w:rsidR="006F7783" w:rsidRPr="002902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position w:val="-1"/>
                <w:sz w:val="20"/>
                <w:szCs w:val="20"/>
                <w14:ligatures w14:val="none"/>
              </w:rPr>
              <w:t>–</w:t>
            </w:r>
            <w:r w:rsidR="004C10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position w:val="-1"/>
                <w:sz w:val="20"/>
                <w:szCs w:val="20"/>
                <w14:ligatures w14:val="none"/>
              </w:rPr>
              <w:t>92</w:t>
            </w:r>
            <w:r w:rsidR="006F7783" w:rsidRPr="002902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position w:val="-1"/>
                <w:sz w:val="20"/>
                <w:szCs w:val="20"/>
                <w14:ligatures w14:val="none"/>
              </w:rPr>
              <w:t>. https://doi.org/10.55681/</w:t>
            </w:r>
            <w:r w:rsidR="00571A55" w:rsidRPr="002902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position w:val="-1"/>
                <w:sz w:val="20"/>
                <w:szCs w:val="20"/>
                <w14:ligatures w14:val="none"/>
              </w:rPr>
              <w:t>ijereg</w:t>
            </w:r>
            <w:r w:rsidR="006F7783" w:rsidRPr="002902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position w:val="-1"/>
                <w:sz w:val="20"/>
                <w:szCs w:val="20"/>
                <w14:ligatures w14:val="none"/>
              </w:rPr>
              <w:t>.v1i1.</w:t>
            </w:r>
            <w:r w:rsidR="00B5527B" w:rsidRPr="002902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position w:val="-1"/>
                <w:sz w:val="20"/>
                <w:szCs w:val="20"/>
                <w14:ligatures w14:val="none"/>
              </w:rPr>
              <w:t>1</w:t>
            </w:r>
            <w:r w:rsidR="00202014" w:rsidRPr="0029027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position w:val="-1"/>
                <w:sz w:val="20"/>
                <w:szCs w:val="20"/>
                <w14:ligatures w14:val="none"/>
              </w:rPr>
              <w:t>7</w:t>
            </w:r>
            <w:r w:rsidR="004C108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position w:val="-1"/>
                <w:sz w:val="20"/>
                <w:szCs w:val="20"/>
                <w14:ligatures w14:val="none"/>
              </w:rPr>
              <w:t>7</w:t>
            </w:r>
          </w:p>
        </w:tc>
      </w:tr>
    </w:tbl>
    <w:p w14:paraId="05EA560C" w14:textId="666B9BDE" w:rsidR="00EF33C1" w:rsidRDefault="00B2309B" w:rsidP="004C1086">
      <w:pPr>
        <w:tabs>
          <w:tab w:val="left" w:pos="6363"/>
        </w:tabs>
        <w:spacing w:before="240"/>
        <w:ind w:leftChars="0" w:left="0" w:firstLineChars="0" w:firstLine="0"/>
        <w:rPr>
          <w:rFonts w:eastAsia="Lustria"/>
          <w:b/>
          <w:bCs/>
          <w:sz w:val="24"/>
          <w:szCs w:val="24"/>
        </w:rPr>
      </w:pPr>
      <w:r>
        <w:rPr>
          <w:rFonts w:eastAsia="Lustria"/>
          <w:b/>
          <w:bCs/>
          <w:sz w:val="24"/>
          <w:szCs w:val="24"/>
        </w:rPr>
        <w:tab/>
      </w:r>
    </w:p>
    <w:p w14:paraId="1C3B1F06" w14:textId="77777777" w:rsidR="004C1086" w:rsidRDefault="004C1086" w:rsidP="004C1086">
      <w:pPr>
        <w:ind w:leftChars="0" w:left="0" w:firstLineChars="0" w:firstLine="0"/>
        <w:jc w:val="both"/>
        <w:rPr>
          <w:b/>
          <w:bCs/>
        </w:rPr>
      </w:pPr>
    </w:p>
    <w:p w14:paraId="6F157869" w14:textId="1E7F7F16" w:rsidR="004C1086" w:rsidRPr="004C1086" w:rsidRDefault="004C1086" w:rsidP="004C1086">
      <w:pPr>
        <w:ind w:leftChars="0" w:left="0" w:firstLineChars="0" w:firstLine="0"/>
        <w:jc w:val="both"/>
        <w:rPr>
          <w:b/>
          <w:bCs/>
        </w:rPr>
      </w:pPr>
      <w:r w:rsidRPr="004C1086">
        <w:rPr>
          <w:b/>
          <w:bCs/>
        </w:rPr>
        <w:lastRenderedPageBreak/>
        <w:t xml:space="preserve">PENDAHULUAN </w:t>
      </w:r>
    </w:p>
    <w:p w14:paraId="25B956F9" w14:textId="77777777" w:rsidR="004C1086" w:rsidRDefault="004C1086" w:rsidP="004C1086">
      <w:pPr>
        <w:pStyle w:val="NormalWeb"/>
        <w:spacing w:before="0" w:beforeAutospacing="0" w:after="0" w:afterAutospacing="0" w:line="276" w:lineRule="auto"/>
        <w:ind w:leftChars="0" w:left="0" w:firstLineChars="0" w:firstLine="851"/>
        <w:jc w:val="both"/>
      </w:pP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</w:t>
      </w:r>
      <w:proofErr w:type="spellStart"/>
      <w:r>
        <w:t>Pemanfaatan</w:t>
      </w:r>
      <w:proofErr w:type="spellEnd"/>
      <w:r>
        <w:t xml:space="preserve"> internet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media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, </w:t>
      </w:r>
      <w:proofErr w:type="spellStart"/>
      <w:r>
        <w:t>perdagangan</w:t>
      </w:r>
      <w:proofErr w:type="spellEnd"/>
      <w:r>
        <w:t xml:space="preserve">, </w:t>
      </w:r>
      <w:proofErr w:type="spellStart"/>
      <w:r>
        <w:t>pendidikan</w:t>
      </w:r>
      <w:proofErr w:type="spellEnd"/>
      <w:r>
        <w:t xml:space="preserve">, dan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. </w:t>
      </w:r>
      <w:proofErr w:type="spellStart"/>
      <w:r>
        <w:t>Kemudahan</w:t>
      </w:r>
      <w:proofErr w:type="spellEnd"/>
      <w:r>
        <w:t xml:space="preserve"> yang </w:t>
      </w:r>
      <w:proofErr w:type="spellStart"/>
      <w:r>
        <w:t>ditawarkan</w:t>
      </w:r>
      <w:proofErr w:type="spellEnd"/>
      <w:r>
        <w:t xml:space="preserve"> oleh </w:t>
      </w:r>
      <w:proofErr w:type="spellStart"/>
      <w:r>
        <w:t>teknologi</w:t>
      </w:r>
      <w:proofErr w:type="spellEnd"/>
      <w:r>
        <w:t xml:space="preserve"> digital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yang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juga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meningkatnya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yang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pelaksanaannya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yang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.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meningkatnya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internet dan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masyarakat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Widodo (2018),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>.</w:t>
      </w:r>
    </w:p>
    <w:p w14:paraId="524A47A0" w14:textId="77777777" w:rsidR="004C1086" w:rsidRDefault="004C1086" w:rsidP="004C1086">
      <w:pPr>
        <w:pStyle w:val="NormalWeb"/>
        <w:spacing w:before="0" w:beforeAutospacing="0" w:after="0" w:afterAutospacing="0" w:line="276" w:lineRule="auto"/>
        <w:ind w:leftChars="0" w:left="0" w:firstLineChars="0" w:firstLine="851"/>
        <w:jc w:val="both"/>
      </w:pP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siber</w:t>
      </w:r>
      <w:proofErr w:type="spellEnd"/>
      <w:r>
        <w:t xml:space="preserve"> yang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melawan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perpesanan</w:t>
      </w:r>
      <w:proofErr w:type="spellEnd"/>
      <w:r>
        <w:t xml:space="preserve">,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platform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korban. </w:t>
      </w:r>
      <w:proofErr w:type="spellStart"/>
      <w:r>
        <w:t>Berbagai</w:t>
      </w:r>
      <w:proofErr w:type="spellEnd"/>
      <w:r>
        <w:t xml:space="preserve"> modus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fiktif</w:t>
      </w:r>
      <w:proofErr w:type="spellEnd"/>
      <w:r>
        <w:t xml:space="preserve">, </w:t>
      </w:r>
      <w:proofErr w:type="spellStart"/>
      <w:r>
        <w:t>investasi</w:t>
      </w:r>
      <w:proofErr w:type="spellEnd"/>
      <w:r>
        <w:t xml:space="preserve"> </w:t>
      </w:r>
      <w:proofErr w:type="spellStart"/>
      <w:r>
        <w:t>palsu</w:t>
      </w:r>
      <w:proofErr w:type="spellEnd"/>
      <w:r>
        <w:t xml:space="preserve">, </w:t>
      </w:r>
      <w:proofErr w:type="spellStart"/>
      <w:r>
        <w:t>penggelapan</w:t>
      </w:r>
      <w:proofErr w:type="spellEnd"/>
      <w:r>
        <w:t xml:space="preserve"> dana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daring,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pencurian</w:t>
      </w:r>
      <w:proofErr w:type="spellEnd"/>
      <w:r>
        <w:t xml:space="preserve"> data </w:t>
      </w:r>
      <w:proofErr w:type="spellStart"/>
      <w:r>
        <w:t>pribadi</w:t>
      </w:r>
      <w:proofErr w:type="spellEnd"/>
      <w:r>
        <w:t xml:space="preserve">.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rendahnya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kewaspadaan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Budhijanto</w:t>
      </w:r>
      <w:proofErr w:type="spellEnd"/>
      <w:r>
        <w:t xml:space="preserve"> (2019),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digital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juga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memadai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para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>.</w:t>
      </w:r>
    </w:p>
    <w:p w14:paraId="06AAB5AC" w14:textId="77777777" w:rsidR="004C1086" w:rsidRDefault="004C1086" w:rsidP="004C1086">
      <w:pPr>
        <w:pStyle w:val="NormalWeb"/>
        <w:spacing w:before="0" w:beforeAutospacing="0" w:after="0" w:afterAutospacing="0" w:line="276" w:lineRule="auto"/>
        <w:ind w:leftChars="0" w:left="0" w:firstLineChars="0" w:firstLine="851"/>
        <w:jc w:val="both"/>
      </w:pPr>
      <w:proofErr w:type="spellStart"/>
      <w:r>
        <w:t>Fenomena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serius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.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menyembunyikan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palsu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proses </w:t>
      </w:r>
      <w:proofErr w:type="spellStart"/>
      <w:r>
        <w:t>pelacakan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yang </w:t>
      </w:r>
      <w:proofErr w:type="spellStart"/>
      <w:r>
        <w:t>luas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negara.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penyelidikan</w:t>
      </w:r>
      <w:proofErr w:type="spellEnd"/>
      <w:r>
        <w:t xml:space="preserve"> dan </w:t>
      </w:r>
      <w:proofErr w:type="spellStart"/>
      <w:r>
        <w:t>penyidikan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.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dikemukakan</w:t>
      </w:r>
      <w:proofErr w:type="spellEnd"/>
      <w:r>
        <w:t xml:space="preserve"> oleh </w:t>
      </w:r>
      <w:proofErr w:type="spellStart"/>
      <w:r>
        <w:t>Maskun</w:t>
      </w:r>
      <w:proofErr w:type="spellEnd"/>
      <w:r>
        <w:t xml:space="preserve"> (2013), </w:t>
      </w:r>
      <w:proofErr w:type="spellStart"/>
      <w:r>
        <w:t>karakteristik</w:t>
      </w:r>
      <w:proofErr w:type="spellEnd"/>
      <w:r>
        <w:t xml:space="preserve"> cybercrime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transnasional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pada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penanganannya</w:t>
      </w:r>
      <w:proofErr w:type="spellEnd"/>
      <w:r>
        <w:t>.</w:t>
      </w:r>
    </w:p>
    <w:p w14:paraId="5E083437" w14:textId="77777777" w:rsidR="004C1086" w:rsidRDefault="004C1086" w:rsidP="004C1086">
      <w:pPr>
        <w:pStyle w:val="NormalWeb"/>
        <w:spacing w:before="0" w:beforeAutospacing="0" w:after="0" w:afterAutospacing="0" w:line="276" w:lineRule="auto"/>
        <w:ind w:leftChars="0" w:left="0" w:firstLineChars="0" w:firstLine="851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Indonesia,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pada </w:t>
      </w:r>
      <w:proofErr w:type="spellStart"/>
      <w:r>
        <w:t>dasarnya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378 Kitab </w:t>
      </w:r>
      <w:proofErr w:type="spellStart"/>
      <w:r>
        <w:t>Undang-Undang</w:t>
      </w:r>
      <w:proofErr w:type="spellEnd"/>
      <w:r>
        <w:t xml:space="preserve"> Hukum </w:t>
      </w:r>
      <w:proofErr w:type="spellStart"/>
      <w:r>
        <w:t>Pidana</w:t>
      </w:r>
      <w:proofErr w:type="spellEnd"/>
      <w:r>
        <w:t xml:space="preserve"> yang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melawan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tipu</w:t>
      </w:r>
      <w:proofErr w:type="spellEnd"/>
      <w:r>
        <w:t xml:space="preserve"> </w:t>
      </w:r>
      <w:proofErr w:type="spellStart"/>
      <w:r>
        <w:t>muslihat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rangkaian</w:t>
      </w:r>
      <w:proofErr w:type="spellEnd"/>
      <w:r>
        <w:t xml:space="preserve"> </w:t>
      </w:r>
      <w:proofErr w:type="spellStart"/>
      <w:r>
        <w:t>kebohongan</w:t>
      </w:r>
      <w:proofErr w:type="spellEnd"/>
      <w:r>
        <w:t xml:space="preserve">. Akan </w:t>
      </w:r>
      <w:proofErr w:type="spellStart"/>
      <w:r>
        <w:t>tetapi</w:t>
      </w:r>
      <w:proofErr w:type="spellEnd"/>
      <w:r>
        <w:t xml:space="preserve">,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mengakomodasi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Kehadiran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di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siber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Sitompul</w:t>
      </w:r>
      <w:proofErr w:type="spellEnd"/>
      <w:r>
        <w:t xml:space="preserve"> (2012),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lastRenderedPageBreak/>
        <w:t>mengenai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siber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yang </w:t>
      </w:r>
      <w:proofErr w:type="spellStart"/>
      <w:r>
        <w:t>mendesak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menjangkau</w:t>
      </w:r>
      <w:proofErr w:type="spellEnd"/>
      <w:r>
        <w:t xml:space="preserve"> </w:t>
      </w:r>
      <w:proofErr w:type="spellStart"/>
      <w:r>
        <w:t>kompleksitas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>.</w:t>
      </w:r>
    </w:p>
    <w:p w14:paraId="7BC80CAD" w14:textId="77777777" w:rsidR="004C1086" w:rsidRDefault="004C1086" w:rsidP="004C1086">
      <w:pPr>
        <w:pStyle w:val="NormalWeb"/>
        <w:spacing w:before="0" w:beforeAutospacing="0" w:after="0" w:afterAutospacing="0" w:line="276" w:lineRule="auto"/>
        <w:ind w:leftChars="0" w:left="0" w:firstLineChars="0" w:firstLine="851"/>
        <w:jc w:val="both"/>
      </w:pP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pada </w:t>
      </w:r>
      <w:proofErr w:type="spellStart"/>
      <w:r>
        <w:t>umumnya</w:t>
      </w:r>
      <w:proofErr w:type="spellEnd"/>
      <w:r>
        <w:t xml:space="preserve">.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dituntut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. Bukti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digital, </w:t>
      </w:r>
      <w:proofErr w:type="spellStart"/>
      <w:r>
        <w:t>rekaman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,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, dan data </w:t>
      </w:r>
      <w:proofErr w:type="spellStart"/>
      <w:r>
        <w:t>komputer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yang sangat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pembuktian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validitas</w:t>
      </w:r>
      <w:proofErr w:type="spellEnd"/>
      <w:r>
        <w:t xml:space="preserve"> dan </w:t>
      </w:r>
      <w:proofErr w:type="spellStart"/>
      <w:r>
        <w:t>keabsahan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yang sangat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dipublikasikan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Ius</w:t>
      </w:r>
      <w:proofErr w:type="spellEnd"/>
      <w:r>
        <w:t xml:space="preserve"> </w:t>
      </w:r>
      <w:proofErr w:type="spellStart"/>
      <w:r>
        <w:t>Quia</w:t>
      </w:r>
      <w:proofErr w:type="spellEnd"/>
      <w:r>
        <w:t xml:space="preserve"> </w:t>
      </w:r>
      <w:proofErr w:type="spellStart"/>
      <w:r>
        <w:t>Iustum</w:t>
      </w:r>
      <w:proofErr w:type="spellEnd"/>
      <w:r>
        <w:t xml:space="preserve">,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pembuktian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cybercrime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acara </w:t>
      </w:r>
      <w:proofErr w:type="spellStart"/>
      <w:r>
        <w:t>pidana</w:t>
      </w:r>
      <w:proofErr w:type="spellEnd"/>
      <w:r>
        <w:t>.</w:t>
      </w:r>
    </w:p>
    <w:p w14:paraId="449B3BDD" w14:textId="77777777" w:rsidR="004C1086" w:rsidRDefault="004C1086" w:rsidP="004C1086">
      <w:pPr>
        <w:pStyle w:val="NormalWeb"/>
        <w:spacing w:before="0" w:beforeAutospacing="0" w:after="0" w:afterAutospacing="0" w:line="276" w:lineRule="auto"/>
        <w:ind w:leftChars="0" w:left="0" w:firstLineChars="0" w:firstLine="851"/>
        <w:jc w:val="both"/>
      </w:pPr>
      <w:proofErr w:type="spellStart"/>
      <w:r>
        <w:t>Selain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pembuktian</w:t>
      </w:r>
      <w:proofErr w:type="spellEnd"/>
      <w:r>
        <w:t xml:space="preserve">,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juga </w:t>
      </w:r>
      <w:proofErr w:type="spellStart"/>
      <w:r>
        <w:t>dihadapkan</w:t>
      </w:r>
      <w:proofErr w:type="spellEnd"/>
      <w:r>
        <w:t xml:space="preserve"> pada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sangat </w:t>
      </w:r>
      <w:proofErr w:type="spellStart"/>
      <w:r>
        <w:t>cepat</w:t>
      </w:r>
      <w:proofErr w:type="spellEnd"/>
      <w:r>
        <w:t xml:space="preserve">, dan </w:t>
      </w:r>
      <w:proofErr w:type="spellStart"/>
      <w:r>
        <w:t>rendahnya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sedikit</w:t>
      </w:r>
      <w:proofErr w:type="spellEnd"/>
      <w:r>
        <w:t xml:space="preserve"> korban yang </w:t>
      </w:r>
      <w:proofErr w:type="spellStart"/>
      <w:r>
        <w:t>enggan</w:t>
      </w:r>
      <w:proofErr w:type="spellEnd"/>
      <w:r>
        <w:t xml:space="preserve"> </w:t>
      </w:r>
      <w:proofErr w:type="spellStart"/>
      <w:r>
        <w:t>melaporkan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yang </w:t>
      </w:r>
      <w:proofErr w:type="spellStart"/>
      <w:r>
        <w:t>dialaminya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menganggap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yang </w:t>
      </w:r>
      <w:proofErr w:type="spellStart"/>
      <w:r>
        <w:t>diderita</w:t>
      </w:r>
      <w:proofErr w:type="spellEnd"/>
      <w:r>
        <w:t xml:space="preserve"> </w:t>
      </w:r>
      <w:proofErr w:type="spellStart"/>
      <w:r>
        <w:t>relatif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pesimis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proses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</w:t>
      </w:r>
      <w:proofErr w:type="spellStart"/>
      <w:r>
        <w:t>Akibatnya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terungkap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optimal. Widodo (2018)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cybercrime sangat </w:t>
      </w:r>
      <w:proofErr w:type="spellStart"/>
      <w:r>
        <w:t>dipengaruhi</w:t>
      </w:r>
      <w:proofErr w:type="spellEnd"/>
      <w:r>
        <w:t xml:space="preserve"> oleh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yang </w:t>
      </w:r>
      <w:proofErr w:type="spellStart"/>
      <w:r>
        <w:t>adaptif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zaman.</w:t>
      </w:r>
    </w:p>
    <w:p w14:paraId="1254603C" w14:textId="77777777" w:rsidR="004C1086" w:rsidRDefault="004C1086" w:rsidP="004C1086">
      <w:pPr>
        <w:pStyle w:val="NormalWeb"/>
        <w:spacing w:before="0" w:beforeAutospacing="0" w:after="0" w:afterAutospacing="0" w:line="276" w:lineRule="auto"/>
        <w:ind w:leftChars="0" w:left="0" w:firstLineChars="0" w:firstLine="851"/>
        <w:jc w:val="both"/>
      </w:pPr>
      <w:proofErr w:type="spellStart"/>
      <w:r>
        <w:t>Perlindungan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korban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 juga </w:t>
      </w:r>
      <w:proofErr w:type="spellStart"/>
      <w:r>
        <w:t>menjadi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. Korban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materiil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kali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psikologis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 dan </w:t>
      </w:r>
      <w:proofErr w:type="spellStart"/>
      <w:r>
        <w:t>terencana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negara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korban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 xml:space="preserve"> dan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kepastian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diwujudkan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penguatan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,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bertransaksi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. </w:t>
      </w:r>
      <w:proofErr w:type="spellStart"/>
      <w:r>
        <w:t>Budhijanto</w:t>
      </w:r>
      <w:proofErr w:type="spellEnd"/>
      <w:r>
        <w:t xml:space="preserve"> (2019) </w:t>
      </w:r>
      <w:proofErr w:type="spellStart"/>
      <w:r>
        <w:t>menegaskan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digital.</w:t>
      </w:r>
    </w:p>
    <w:p w14:paraId="49FC9432" w14:textId="77777777" w:rsidR="004C1086" w:rsidRDefault="004C1086" w:rsidP="004C1086">
      <w:pPr>
        <w:pStyle w:val="NormalWeb"/>
        <w:spacing w:before="0" w:beforeAutospacing="0" w:after="120" w:afterAutospacing="0" w:line="276" w:lineRule="auto"/>
        <w:ind w:leftChars="0" w:left="0" w:firstLineChars="0" w:firstLine="851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. </w:t>
      </w:r>
      <w:proofErr w:type="spellStart"/>
      <w:r>
        <w:t>Kompleksitas</w:t>
      </w:r>
      <w:proofErr w:type="spellEnd"/>
      <w:r>
        <w:t xml:space="preserve"> modus operandi </w:t>
      </w:r>
      <w:proofErr w:type="spellStart"/>
      <w:r>
        <w:t>pelaku</w:t>
      </w:r>
      <w:proofErr w:type="spellEnd"/>
      <w:r>
        <w:t xml:space="preserve">,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pembuktian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yuridis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sangat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di Indonesia.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komprehensif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lastRenderedPageBreak/>
        <w:t>peningkatan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siber</w:t>
      </w:r>
      <w:proofErr w:type="spellEnd"/>
      <w:r>
        <w:t xml:space="preserve"> di Indonesia.</w:t>
      </w:r>
    </w:p>
    <w:p w14:paraId="79CE170E" w14:textId="77777777" w:rsidR="004C1086" w:rsidRPr="0033428E" w:rsidRDefault="004C1086" w:rsidP="004C1086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bCs/>
        </w:rPr>
      </w:pPr>
      <w:r w:rsidRPr="0033428E">
        <w:rPr>
          <w:b/>
          <w:bCs/>
        </w:rPr>
        <w:t>METODE</w:t>
      </w:r>
    </w:p>
    <w:p w14:paraId="72576C91" w14:textId="77777777" w:rsidR="004C1086" w:rsidRDefault="004C1086" w:rsidP="004C1086">
      <w:pPr>
        <w:pStyle w:val="NormalWeb"/>
        <w:spacing w:before="0" w:beforeAutospacing="0" w:after="0" w:afterAutospacing="0" w:line="276" w:lineRule="auto"/>
        <w:ind w:leftChars="0" w:left="0" w:firstLineChars="0" w:firstLine="851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normatif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berfokus</w:t>
      </w:r>
      <w:proofErr w:type="spellEnd"/>
      <w:r>
        <w:t xml:space="preserve"> pada </w:t>
      </w:r>
      <w:proofErr w:type="spellStart"/>
      <w:r>
        <w:t>pengkajian</w:t>
      </w:r>
      <w:proofErr w:type="spellEnd"/>
      <w:r>
        <w:t xml:space="preserve"> </w:t>
      </w:r>
      <w:proofErr w:type="spellStart"/>
      <w:r>
        <w:t>norma-norma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, </w:t>
      </w:r>
      <w:proofErr w:type="spellStart"/>
      <w:r>
        <w:t>putusan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doktrin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normatif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dan </w:t>
      </w:r>
      <w:proofErr w:type="spellStart"/>
      <w:r>
        <w:t>doktrin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 (</w:t>
      </w:r>
      <w:r>
        <w:rPr>
          <w:rStyle w:val="Emphasis"/>
        </w:rPr>
        <w:t>statute approach</w:t>
      </w:r>
      <w:r>
        <w:t xml:space="preserve">) dan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konseptual</w:t>
      </w:r>
      <w:proofErr w:type="spellEnd"/>
      <w:r>
        <w:t xml:space="preserve"> (</w:t>
      </w:r>
      <w:r>
        <w:rPr>
          <w:rStyle w:val="Emphasis"/>
        </w:rPr>
        <w:t>conceptual approach</w:t>
      </w:r>
      <w:r>
        <w:t xml:space="preserve">).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menelaah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yang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konseptual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konsep-konsep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literatur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Soekanto</w:t>
      </w:r>
      <w:proofErr w:type="spellEnd"/>
      <w:r>
        <w:t xml:space="preserve"> dan </w:t>
      </w:r>
      <w:proofErr w:type="spellStart"/>
      <w:r>
        <w:t>Mamudji</w:t>
      </w:r>
      <w:proofErr w:type="spellEnd"/>
      <w:r>
        <w:t xml:space="preserve"> (2015),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normatif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meneliti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data </w:t>
      </w:r>
      <w:proofErr w:type="spellStart"/>
      <w:r>
        <w:t>sekunder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>.</w:t>
      </w:r>
    </w:p>
    <w:p w14:paraId="1EECF9E1" w14:textId="77777777" w:rsidR="004C1086" w:rsidRDefault="004C1086" w:rsidP="004C1086">
      <w:pPr>
        <w:pStyle w:val="NormalWeb"/>
        <w:spacing w:before="0" w:beforeAutospacing="0" w:after="0" w:afterAutospacing="0" w:line="276" w:lineRule="auto"/>
        <w:ind w:leftChars="0" w:left="0" w:firstLineChars="0" w:firstLine="851"/>
        <w:jc w:val="both"/>
      </w:pPr>
      <w:proofErr w:type="spellStart"/>
      <w:r>
        <w:t>Sumber</w:t>
      </w:r>
      <w:proofErr w:type="spellEnd"/>
      <w:r>
        <w:t xml:space="preserve"> data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primer,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sekunder</w:t>
      </w:r>
      <w:proofErr w:type="spellEnd"/>
      <w:r>
        <w:t xml:space="preserve">, dan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tersier</w:t>
      </w:r>
      <w:proofErr w:type="spellEnd"/>
      <w:r>
        <w:t xml:space="preserve">.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primer </w:t>
      </w:r>
      <w:proofErr w:type="spellStart"/>
      <w:r>
        <w:t>meliputi</w:t>
      </w:r>
      <w:proofErr w:type="spellEnd"/>
      <w:r>
        <w:t xml:space="preserve"> Kitab </w:t>
      </w:r>
      <w:proofErr w:type="spellStart"/>
      <w:r>
        <w:t>Undang-Undang</w:t>
      </w:r>
      <w:proofErr w:type="spellEnd"/>
      <w:r>
        <w:t xml:space="preserve"> Hukum </w:t>
      </w:r>
      <w:proofErr w:type="spellStart"/>
      <w:r>
        <w:t>Pidana</w:t>
      </w:r>
      <w:proofErr w:type="spellEnd"/>
      <w:r>
        <w:t xml:space="preserve">,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 </w:t>
      </w:r>
      <w:proofErr w:type="spellStart"/>
      <w:r>
        <w:t>Tahun</w:t>
      </w:r>
      <w:proofErr w:type="spellEnd"/>
      <w:r>
        <w:t xml:space="preserve"> 2024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11 </w:t>
      </w:r>
      <w:proofErr w:type="spellStart"/>
      <w:r>
        <w:t>Tahun</w:t>
      </w:r>
      <w:proofErr w:type="spellEnd"/>
      <w:r>
        <w:t xml:space="preserve"> 2008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 lain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siber</w:t>
      </w:r>
      <w:proofErr w:type="spellEnd"/>
      <w:r>
        <w:t xml:space="preserve">.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sekunder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buku-buku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dan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tersier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kamus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ensiklopedia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dan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lain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dikemukakan</w:t>
      </w:r>
      <w:proofErr w:type="spellEnd"/>
      <w:r>
        <w:t xml:space="preserve"> oleh </w:t>
      </w:r>
      <w:proofErr w:type="spellStart"/>
      <w:r>
        <w:t>Marzuki</w:t>
      </w:r>
      <w:proofErr w:type="spellEnd"/>
      <w:r>
        <w:t xml:space="preserve"> (2017),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primer dan </w:t>
      </w:r>
      <w:proofErr w:type="spellStart"/>
      <w:r>
        <w:t>sekunder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normatif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dan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komprehensif</w:t>
      </w:r>
      <w:proofErr w:type="spellEnd"/>
      <w:r>
        <w:t>.</w:t>
      </w:r>
    </w:p>
    <w:p w14:paraId="043AE251" w14:textId="77777777" w:rsidR="004C1086" w:rsidRDefault="004C1086" w:rsidP="004C1086">
      <w:pPr>
        <w:pStyle w:val="NormalWeb"/>
        <w:spacing w:before="0" w:beforeAutospacing="0" w:after="0" w:afterAutospacing="0" w:line="276" w:lineRule="auto"/>
        <w:ind w:leftChars="0" w:left="0" w:firstLineChars="0" w:firstLine="851"/>
        <w:jc w:val="both"/>
      </w:pPr>
      <w:r>
        <w:t xml:space="preserve">Teknik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kepustakaan</w:t>
      </w:r>
      <w:proofErr w:type="spellEnd"/>
      <w:r>
        <w:t xml:space="preserve"> (</w:t>
      </w:r>
      <w:r>
        <w:rPr>
          <w:rStyle w:val="Emphasis"/>
        </w:rPr>
        <w:t>library research</w:t>
      </w:r>
      <w:r>
        <w:t xml:space="preserve">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menelaah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Seluruh</w:t>
      </w:r>
      <w:proofErr w:type="spellEnd"/>
      <w:r>
        <w:t xml:space="preserve"> data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, </w:t>
      </w:r>
      <w:proofErr w:type="spellStart"/>
      <w:r>
        <w:t>mengklasifikasi</w:t>
      </w:r>
      <w:proofErr w:type="spellEnd"/>
      <w:r>
        <w:t xml:space="preserve">, dan </w:t>
      </w:r>
      <w:proofErr w:type="spellStart"/>
      <w:r>
        <w:t>menginterpretasikan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penerapannya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Hasil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Ibrahim (2013),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normatif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penafsiran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dikumpulkan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argumentasi</w:t>
      </w:r>
      <w:proofErr w:type="spellEnd"/>
      <w:r>
        <w:t xml:space="preserve">, </w:t>
      </w:r>
      <w:proofErr w:type="spellStart"/>
      <w:r>
        <w:t>teori</w:t>
      </w:r>
      <w:proofErr w:type="spellEnd"/>
      <w:r>
        <w:t xml:space="preserve">, dan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>.</w:t>
      </w:r>
    </w:p>
    <w:p w14:paraId="6208EC08" w14:textId="77777777" w:rsidR="004C1086" w:rsidRPr="0033428E" w:rsidRDefault="004C1086" w:rsidP="004C1086">
      <w:pPr>
        <w:pStyle w:val="ListParagraph"/>
        <w:ind w:left="1" w:hanging="3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B53C800" w14:textId="77777777" w:rsidR="004C1086" w:rsidRDefault="004C1086" w:rsidP="004C1086">
      <w:pPr>
        <w:ind w:left="0" w:hanging="2"/>
        <w:rPr>
          <w:b/>
          <w:bCs/>
        </w:rPr>
      </w:pPr>
      <w:r w:rsidRPr="0033428E">
        <w:rPr>
          <w:b/>
          <w:bCs/>
        </w:rPr>
        <w:t>HASIL DAN PEMBAHSAN</w:t>
      </w:r>
    </w:p>
    <w:p w14:paraId="282C5A5B" w14:textId="77777777" w:rsidR="004C1086" w:rsidRDefault="004C1086" w:rsidP="004C1086">
      <w:pPr>
        <w:pStyle w:val="NormalWeb"/>
        <w:spacing w:before="0" w:beforeAutospacing="0" w:after="0" w:afterAutospacing="0" w:line="276" w:lineRule="auto"/>
        <w:ind w:leftChars="0" w:left="0" w:firstLineChars="0" w:firstLine="709"/>
        <w:jc w:val="both"/>
      </w:pP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siber</w:t>
      </w:r>
      <w:proofErr w:type="spellEnd"/>
      <w:r>
        <w:t xml:space="preserve"> 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seiring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berkembangnya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komunikasi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</w:t>
      </w:r>
      <w:r>
        <w:lastRenderedPageBreak/>
        <w:t>undangan</w:t>
      </w:r>
      <w:proofErr w:type="spellEnd"/>
      <w:r>
        <w:t xml:space="preserve">,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 pada </w:t>
      </w:r>
      <w:proofErr w:type="spellStart"/>
      <w:r>
        <w:t>dasarnya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yang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melawan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media </w:t>
      </w:r>
      <w:proofErr w:type="spellStart"/>
      <w:r>
        <w:t>pelaksanaannya</w:t>
      </w:r>
      <w:proofErr w:type="spellEnd"/>
      <w:r>
        <w:t xml:space="preserve">.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perpesanan</w:t>
      </w:r>
      <w:proofErr w:type="spellEnd"/>
      <w:r>
        <w:t xml:space="preserve">,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platform </w:t>
      </w:r>
      <w:proofErr w:type="spellStart"/>
      <w:r>
        <w:t>perdagangan</w:t>
      </w:r>
      <w:proofErr w:type="spellEnd"/>
      <w:r>
        <w:t xml:space="preserve"> daring.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 xml:space="preserve">,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tipu</w:t>
      </w:r>
      <w:proofErr w:type="spellEnd"/>
      <w:r>
        <w:t xml:space="preserve"> </w:t>
      </w:r>
      <w:proofErr w:type="spellStart"/>
      <w:r>
        <w:t>muslihat</w:t>
      </w:r>
      <w:proofErr w:type="spellEnd"/>
      <w:r>
        <w:t xml:space="preserve"> dan </w:t>
      </w:r>
      <w:proofErr w:type="spellStart"/>
      <w:r>
        <w:t>rangkaian</w:t>
      </w:r>
      <w:proofErr w:type="spellEnd"/>
      <w:r>
        <w:t xml:space="preserve"> </w:t>
      </w:r>
      <w:proofErr w:type="spellStart"/>
      <w:r>
        <w:t>kebohongan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inti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Widodo (2018),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digital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melahirkan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menuntut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pembaruan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agar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menjangkau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modus operandi yang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siber</w:t>
      </w:r>
      <w:proofErr w:type="spellEnd"/>
      <w:r>
        <w:t>.</w:t>
      </w:r>
    </w:p>
    <w:p w14:paraId="48930AEF" w14:textId="77777777" w:rsidR="004C1086" w:rsidRDefault="004C1086" w:rsidP="004C1086">
      <w:pPr>
        <w:pStyle w:val="NormalWeb"/>
        <w:spacing w:before="0" w:beforeAutospacing="0" w:after="0" w:afterAutospacing="0" w:line="276" w:lineRule="auto"/>
        <w:ind w:leftChars="0" w:left="0" w:firstLineChars="0" w:firstLine="709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Indonesia,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378 Kitab </w:t>
      </w:r>
      <w:proofErr w:type="spellStart"/>
      <w:r>
        <w:t>Undang-Undang</w:t>
      </w:r>
      <w:proofErr w:type="spellEnd"/>
      <w:r>
        <w:t xml:space="preserve"> Hukum </w:t>
      </w:r>
      <w:proofErr w:type="spellStart"/>
      <w:r>
        <w:t>Pidana</w:t>
      </w:r>
      <w:proofErr w:type="spellEnd"/>
      <w:r>
        <w:t xml:space="preserve"> (KUHP). </w:t>
      </w:r>
      <w:proofErr w:type="spellStart"/>
      <w:r>
        <w:t>Pasal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maksud</w:t>
      </w:r>
      <w:proofErr w:type="spellEnd"/>
      <w:r>
        <w:t xml:space="preserve"> </w:t>
      </w:r>
      <w:proofErr w:type="spellStart"/>
      <w:r>
        <w:t>menguntungkan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orang lain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melawan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palsu</w:t>
      </w:r>
      <w:proofErr w:type="spellEnd"/>
      <w:r>
        <w:t xml:space="preserve">, </w:t>
      </w:r>
      <w:proofErr w:type="spellStart"/>
      <w:r>
        <w:t>martabat</w:t>
      </w:r>
      <w:proofErr w:type="spellEnd"/>
      <w:r>
        <w:t xml:space="preserve"> </w:t>
      </w:r>
      <w:proofErr w:type="spellStart"/>
      <w:r>
        <w:t>palsu</w:t>
      </w:r>
      <w:proofErr w:type="spellEnd"/>
      <w:r>
        <w:t xml:space="preserve">, </w:t>
      </w:r>
      <w:proofErr w:type="spellStart"/>
      <w:r>
        <w:t>tipu</w:t>
      </w:r>
      <w:proofErr w:type="spellEnd"/>
      <w:r>
        <w:t xml:space="preserve"> </w:t>
      </w:r>
      <w:proofErr w:type="spellStart"/>
      <w:r>
        <w:t>muslihat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rangkaian</w:t>
      </w:r>
      <w:proofErr w:type="spellEnd"/>
      <w:r>
        <w:t xml:space="preserve"> </w:t>
      </w:r>
      <w:proofErr w:type="spellStart"/>
      <w:r>
        <w:t>kebohongan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menggerakkan</w:t>
      </w:r>
      <w:proofErr w:type="spellEnd"/>
      <w:r>
        <w:t xml:space="preserve"> orang lain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, </w:t>
      </w:r>
      <w:proofErr w:type="spellStart"/>
      <w:r>
        <w:t>memberi</w:t>
      </w:r>
      <w:proofErr w:type="spellEnd"/>
      <w:r>
        <w:t xml:space="preserve"> utang,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menghapuskan</w:t>
      </w:r>
      <w:proofErr w:type="spellEnd"/>
      <w:r>
        <w:t xml:space="preserve"> </w:t>
      </w:r>
      <w:proofErr w:type="spellStart"/>
      <w:r>
        <w:t>piutang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dipidana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.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menjerat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Hiariej</w:t>
      </w:r>
      <w:proofErr w:type="spellEnd"/>
      <w:r>
        <w:t xml:space="preserve"> (2020)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RechtsVinding</w:t>
      </w:r>
      <w:proofErr w:type="spellEnd"/>
      <w:r>
        <w:t xml:space="preserve">, </w:t>
      </w:r>
      <w:proofErr w:type="spellStart"/>
      <w:r>
        <w:t>unsur-unsur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378 KUHP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digital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dan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hukumnya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dibuktikan</w:t>
      </w:r>
      <w:proofErr w:type="spellEnd"/>
      <w:r>
        <w:t>.</w:t>
      </w:r>
    </w:p>
    <w:p w14:paraId="4C173D4D" w14:textId="77777777" w:rsidR="004C1086" w:rsidRDefault="004C1086" w:rsidP="004C1086">
      <w:pPr>
        <w:pStyle w:val="NormalWeb"/>
        <w:spacing w:before="0" w:beforeAutospacing="0" w:after="0" w:afterAutospacing="0" w:line="276" w:lineRule="auto"/>
        <w:ind w:leftChars="0" w:left="0" w:firstLineChars="0" w:firstLine="709"/>
        <w:jc w:val="both"/>
      </w:pPr>
      <w:proofErr w:type="spellStart"/>
      <w:r>
        <w:t>Selain</w:t>
      </w:r>
      <w:proofErr w:type="spellEnd"/>
      <w:r>
        <w:t xml:space="preserve"> KUHP, </w:t>
      </w:r>
      <w:proofErr w:type="spellStart"/>
      <w:r>
        <w:t>pengaturan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 </w:t>
      </w:r>
      <w:proofErr w:type="spellStart"/>
      <w:r>
        <w:t>Tahun</w:t>
      </w:r>
      <w:proofErr w:type="spellEnd"/>
      <w:r>
        <w:t xml:space="preserve"> 2024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11 </w:t>
      </w:r>
      <w:proofErr w:type="spellStart"/>
      <w:r>
        <w:t>Tahun</w:t>
      </w:r>
      <w:proofErr w:type="spellEnd"/>
      <w:r>
        <w:t xml:space="preserve"> 2008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.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penyalahgunaan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yang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negara </w:t>
      </w:r>
      <w:proofErr w:type="spellStart"/>
      <w:r>
        <w:t>berupaya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pesat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Budhijanto</w:t>
      </w:r>
      <w:proofErr w:type="spellEnd"/>
      <w:r>
        <w:t xml:space="preserve"> (2019)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RechtsVinding</w:t>
      </w:r>
      <w:proofErr w:type="spellEnd"/>
      <w:r>
        <w:t xml:space="preserve">, </w:t>
      </w:r>
      <w:proofErr w:type="spellStart"/>
      <w:r>
        <w:t>regulasi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kepastian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digital.</w:t>
      </w:r>
    </w:p>
    <w:p w14:paraId="3297A1F1" w14:textId="77777777" w:rsidR="004C1086" w:rsidRDefault="004C1086" w:rsidP="004C1086">
      <w:pPr>
        <w:pStyle w:val="NormalWeb"/>
        <w:spacing w:before="0" w:beforeAutospacing="0" w:after="0" w:afterAutospacing="0" w:line="276" w:lineRule="auto"/>
        <w:ind w:leftChars="0" w:left="0" w:firstLineChars="0" w:firstLine="709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putusan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,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modus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 sangat </w:t>
      </w:r>
      <w:proofErr w:type="spellStart"/>
      <w:r>
        <w:t>beragam</w:t>
      </w:r>
      <w:proofErr w:type="spellEnd"/>
      <w:r>
        <w:t xml:space="preserve">.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marketplace. </w:t>
      </w:r>
      <w:proofErr w:type="spellStart"/>
      <w:r>
        <w:t>Setelah</w:t>
      </w:r>
      <w:proofErr w:type="spellEnd"/>
      <w:r>
        <w:t xml:space="preserve"> korban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,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dijanjikan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dikirim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menghilangkan</w:t>
      </w:r>
      <w:proofErr w:type="spellEnd"/>
      <w:r>
        <w:t xml:space="preserve"> </w:t>
      </w:r>
      <w:proofErr w:type="spellStart"/>
      <w:r>
        <w:t>jejak</w:t>
      </w:r>
      <w:proofErr w:type="spellEnd"/>
      <w:r>
        <w:t xml:space="preserve"> </w:t>
      </w:r>
      <w:proofErr w:type="spellStart"/>
      <w:r>
        <w:t>komunikasinya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pula modus </w:t>
      </w:r>
      <w:proofErr w:type="spellStart"/>
      <w:r>
        <w:t>investasi</w:t>
      </w:r>
      <w:proofErr w:type="spellEnd"/>
      <w:r>
        <w:t xml:space="preserve"> </w:t>
      </w:r>
      <w:proofErr w:type="spellStart"/>
      <w:r>
        <w:t>fiktif</w:t>
      </w:r>
      <w:proofErr w:type="spellEnd"/>
      <w:r>
        <w:t xml:space="preserve"> yang </w:t>
      </w:r>
      <w:proofErr w:type="spellStart"/>
      <w:r>
        <w:t>menjanjikan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Nugraha</w:t>
      </w:r>
      <w:proofErr w:type="spellEnd"/>
      <w:r>
        <w:t xml:space="preserve"> dan </w:t>
      </w:r>
      <w:proofErr w:type="spellStart"/>
      <w:r>
        <w:t>Ramadhani</w:t>
      </w:r>
      <w:proofErr w:type="spellEnd"/>
      <w:r>
        <w:t xml:space="preserve"> (2022)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Hukum dan </w:t>
      </w:r>
      <w:proofErr w:type="spellStart"/>
      <w:r>
        <w:t>Peradilan</w:t>
      </w:r>
      <w:proofErr w:type="spellEnd"/>
      <w:r>
        <w:t xml:space="preserve">, </w:t>
      </w:r>
      <w:proofErr w:type="spellStart"/>
      <w:r>
        <w:t>variasi</w:t>
      </w:r>
      <w:proofErr w:type="spellEnd"/>
      <w:r>
        <w:t xml:space="preserve"> modus </w:t>
      </w:r>
      <w:proofErr w:type="spellStart"/>
      <w:r>
        <w:t>penipuan</w:t>
      </w:r>
      <w:proofErr w:type="spellEnd"/>
      <w:r>
        <w:t xml:space="preserve"> online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rendahnya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digital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melawan</w:t>
      </w:r>
      <w:proofErr w:type="spellEnd"/>
      <w:r>
        <w:t xml:space="preserve"> </w:t>
      </w:r>
      <w:proofErr w:type="spellStart"/>
      <w:r>
        <w:t>hukum</w:t>
      </w:r>
      <w:proofErr w:type="spellEnd"/>
      <w:r>
        <w:t>.</w:t>
      </w:r>
    </w:p>
    <w:p w14:paraId="7E2C74C3" w14:textId="77777777" w:rsidR="004C1086" w:rsidRDefault="004C1086" w:rsidP="004C1086">
      <w:pPr>
        <w:pStyle w:val="NormalWeb"/>
        <w:spacing w:before="0" w:beforeAutospacing="0" w:after="0" w:afterAutospacing="0" w:line="276" w:lineRule="auto"/>
        <w:ind w:leftChars="0" w:left="0" w:firstLineChars="0" w:firstLine="709"/>
        <w:jc w:val="both"/>
      </w:pPr>
      <w:proofErr w:type="spellStart"/>
      <w:r>
        <w:t>Unsur</w:t>
      </w:r>
      <w:proofErr w:type="spellEnd"/>
      <w:r>
        <w:t xml:space="preserve"> </w:t>
      </w:r>
      <w:proofErr w:type="spellStart"/>
      <w:r>
        <w:t>kesengajaan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pembuktian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.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niat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yang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menyesatkan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, </w:t>
      </w:r>
      <w:proofErr w:type="spellStart"/>
      <w:r>
        <w:t>pembuktian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kesengajaan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lastRenderedPageBreak/>
        <w:t>melalui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,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dan </w:t>
      </w:r>
      <w:proofErr w:type="spellStart"/>
      <w:r>
        <w:t>sesudah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Arifin (2021)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Yudisial</w:t>
      </w:r>
      <w:proofErr w:type="spellEnd"/>
      <w:r>
        <w:t xml:space="preserve">, </w:t>
      </w:r>
      <w:proofErr w:type="spellStart"/>
      <w:r>
        <w:t>pembuktian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kesengajaan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cybercrime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komprehensif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digital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meninggalkan</w:t>
      </w:r>
      <w:proofErr w:type="spellEnd"/>
      <w:r>
        <w:t xml:space="preserve"> </w:t>
      </w:r>
      <w:proofErr w:type="spellStart"/>
      <w:r>
        <w:t>jejak</w:t>
      </w:r>
      <w:proofErr w:type="spellEnd"/>
      <w:r>
        <w:t xml:space="preserve"> </w:t>
      </w:r>
      <w:proofErr w:type="spellStart"/>
      <w:r>
        <w:t>fisik</w:t>
      </w:r>
      <w:proofErr w:type="spellEnd"/>
      <w:r>
        <w:t>.</w:t>
      </w:r>
    </w:p>
    <w:p w14:paraId="0A88515B" w14:textId="77777777" w:rsidR="004C1086" w:rsidRDefault="004C1086" w:rsidP="004C1086">
      <w:pPr>
        <w:pStyle w:val="NormalWeb"/>
        <w:spacing w:before="0" w:beforeAutospacing="0" w:after="0" w:afterAutospacing="0" w:line="276" w:lineRule="auto"/>
        <w:ind w:leftChars="0" w:left="0" w:firstLineChars="0" w:firstLine="709"/>
        <w:jc w:val="both"/>
      </w:pPr>
      <w:proofErr w:type="spellStart"/>
      <w:r>
        <w:t>Keberadaan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yang sangat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. </w:t>
      </w:r>
      <w:proofErr w:type="spellStart"/>
      <w:r>
        <w:t>Pasal</w:t>
      </w:r>
      <w:proofErr w:type="spellEnd"/>
      <w:r>
        <w:t xml:space="preserve"> 5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mengakui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dan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sah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percakapan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, </w:t>
      </w:r>
      <w:proofErr w:type="spellStart"/>
      <w:r>
        <w:t>bukti</w:t>
      </w:r>
      <w:proofErr w:type="spellEnd"/>
      <w:r>
        <w:t xml:space="preserve"> transfer bank, </w:t>
      </w:r>
      <w:proofErr w:type="spellStart"/>
      <w:r>
        <w:t>rekaman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, dan </w:t>
      </w:r>
      <w:proofErr w:type="spellStart"/>
      <w:r>
        <w:t>tangkapan</w:t>
      </w:r>
      <w:proofErr w:type="spellEnd"/>
      <w:r>
        <w:t xml:space="preserve"> </w:t>
      </w:r>
      <w:proofErr w:type="spellStart"/>
      <w:r>
        <w:t>layar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peradilan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Sari dan Kurniawan (2022)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Ius</w:t>
      </w:r>
      <w:proofErr w:type="spellEnd"/>
      <w:r>
        <w:t xml:space="preserve"> </w:t>
      </w:r>
      <w:proofErr w:type="spellStart"/>
      <w:r>
        <w:t>Quia</w:t>
      </w:r>
      <w:proofErr w:type="spellEnd"/>
      <w:r>
        <w:t xml:space="preserve"> </w:t>
      </w:r>
      <w:proofErr w:type="spellStart"/>
      <w:r>
        <w:t>Iustum</w:t>
      </w:r>
      <w:proofErr w:type="spellEnd"/>
      <w:r>
        <w:t xml:space="preserve">, </w:t>
      </w:r>
      <w:proofErr w:type="spellStart"/>
      <w:r>
        <w:t>pengakuan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acara </w:t>
      </w:r>
      <w:proofErr w:type="spellStart"/>
      <w:r>
        <w:t>pidana</w:t>
      </w:r>
      <w:proofErr w:type="spellEnd"/>
      <w:r>
        <w:t xml:space="preserve"> Indonesia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pembuktian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siber</w:t>
      </w:r>
      <w:proofErr w:type="spellEnd"/>
      <w:r>
        <w:t>.</w:t>
      </w:r>
    </w:p>
    <w:p w14:paraId="2AA5D4EB" w14:textId="77777777" w:rsidR="004C1086" w:rsidRDefault="004C1086" w:rsidP="004C1086">
      <w:pPr>
        <w:pStyle w:val="NormalWeb"/>
        <w:spacing w:before="0" w:beforeAutospacing="0" w:after="0" w:afterAutospacing="0" w:line="276" w:lineRule="auto"/>
        <w:ind w:leftChars="0" w:left="0" w:firstLineChars="0" w:firstLine="709"/>
        <w:jc w:val="both"/>
      </w:pPr>
      <w:r>
        <w:t xml:space="preserve">Hasil </w:t>
      </w:r>
      <w:proofErr w:type="spellStart"/>
      <w:r>
        <w:t>penelitian</w:t>
      </w:r>
      <w:proofErr w:type="spellEnd"/>
      <w:r>
        <w:t xml:space="preserve"> juga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hambatan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hambatan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sulitnya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palsu</w:t>
      </w:r>
      <w:proofErr w:type="spellEnd"/>
      <w:r>
        <w:t xml:space="preserve"> dan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anonim</w:t>
      </w:r>
      <w:proofErr w:type="spellEnd"/>
      <w:r>
        <w:t xml:space="preserve">.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virtual private network (VPN),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telepon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terdaftar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lain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menyamarkan</w:t>
      </w:r>
      <w:proofErr w:type="spellEnd"/>
      <w:r>
        <w:t xml:space="preserve"> </w:t>
      </w:r>
      <w:proofErr w:type="spellStart"/>
      <w:r>
        <w:t>identitasnya</w:t>
      </w:r>
      <w:proofErr w:type="spellEnd"/>
      <w:r>
        <w:t xml:space="preserve">.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proses </w:t>
      </w:r>
      <w:proofErr w:type="spellStart"/>
      <w:r>
        <w:t>penyelidikan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lama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konvensional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Susanto dan Wibowo (2021)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Hukum dan </w:t>
      </w:r>
      <w:proofErr w:type="spellStart"/>
      <w:r>
        <w:t>Peradilan</w:t>
      </w:r>
      <w:proofErr w:type="spellEnd"/>
      <w:r>
        <w:t xml:space="preserve">, </w:t>
      </w:r>
      <w:proofErr w:type="spellStart"/>
      <w:r>
        <w:t>anonimitas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siber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terbesar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cybercrime.</w:t>
      </w:r>
    </w:p>
    <w:p w14:paraId="36E61270" w14:textId="77777777" w:rsidR="004C1086" w:rsidRDefault="004C1086" w:rsidP="004C1086">
      <w:pPr>
        <w:pStyle w:val="NormalWeb"/>
        <w:spacing w:before="0" w:beforeAutospacing="0" w:after="0" w:afterAutospacing="0" w:line="276" w:lineRule="auto"/>
        <w:ind w:leftChars="0" w:left="0" w:firstLineChars="0" w:firstLine="709"/>
        <w:jc w:val="both"/>
      </w:pPr>
      <w:proofErr w:type="spellStart"/>
      <w:r>
        <w:t>Karakteristik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siber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wilayah juga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jarang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dan korban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daerah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bahkan</w:t>
      </w:r>
      <w:proofErr w:type="spellEnd"/>
      <w:r>
        <w:t xml:space="preserve"> negara yang </w:t>
      </w:r>
      <w:proofErr w:type="spellStart"/>
      <w:r>
        <w:t>berbeda</w:t>
      </w:r>
      <w:proofErr w:type="spellEnd"/>
      <w:r>
        <w:t xml:space="preserve">.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persoalan</w:t>
      </w:r>
      <w:proofErr w:type="spellEnd"/>
      <w:r>
        <w:t xml:space="preserve"> </w:t>
      </w:r>
      <w:proofErr w:type="spellStart"/>
      <w:r>
        <w:t>yurisdiksi</w:t>
      </w:r>
      <w:proofErr w:type="spellEnd"/>
      <w:r>
        <w:t xml:space="preserve"> dan </w:t>
      </w:r>
      <w:proofErr w:type="spellStart"/>
      <w:r>
        <w:t>koordinasi</w:t>
      </w:r>
      <w:proofErr w:type="spellEnd"/>
      <w:r>
        <w:t xml:space="preserve"> </w:t>
      </w:r>
      <w:proofErr w:type="spellStart"/>
      <w:r>
        <w:t>antarinstansi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penyidikan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penuntutan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dan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sangat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mengungkap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Maskun</w:t>
      </w:r>
      <w:proofErr w:type="spellEnd"/>
      <w:r>
        <w:t xml:space="preserve"> (2013),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siber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transnasional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>.</w:t>
      </w:r>
    </w:p>
    <w:p w14:paraId="335E2F13" w14:textId="77777777" w:rsidR="004C1086" w:rsidRDefault="004C1086" w:rsidP="004C1086">
      <w:pPr>
        <w:pStyle w:val="NormalWeb"/>
        <w:spacing w:before="0" w:beforeAutospacing="0" w:after="0" w:afterAutospacing="0" w:line="276" w:lineRule="auto"/>
        <w:ind w:leftChars="0" w:left="0" w:firstLineChars="0" w:firstLine="709"/>
        <w:jc w:val="both"/>
      </w:pPr>
      <w:r>
        <w:t xml:space="preserve">Dari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korban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dan </w:t>
      </w:r>
      <w:proofErr w:type="spellStart"/>
      <w:r>
        <w:t>kepastian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negara.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penindakan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pemulihan</w:t>
      </w:r>
      <w:proofErr w:type="spellEnd"/>
      <w:r>
        <w:t xml:space="preserve"> </w:t>
      </w:r>
      <w:proofErr w:type="spellStart"/>
      <w:r>
        <w:t>hak-hak</w:t>
      </w:r>
      <w:proofErr w:type="spellEnd"/>
      <w:r>
        <w:t xml:space="preserve"> korban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dirugikan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, korban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finansial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pemulihan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Yuliana (2023)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RechtIdee</w:t>
      </w:r>
      <w:proofErr w:type="spellEnd"/>
      <w:r>
        <w:t xml:space="preserve">,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korban cybercrime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integral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menjamin</w:t>
      </w:r>
      <w:proofErr w:type="spellEnd"/>
      <w:r>
        <w:t xml:space="preserve"> rasa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</w:p>
    <w:p w14:paraId="3F40C451" w14:textId="77777777" w:rsidR="004C1086" w:rsidRDefault="004C1086" w:rsidP="004C1086">
      <w:pPr>
        <w:pStyle w:val="NormalWeb"/>
        <w:spacing w:before="0" w:beforeAutospacing="0" w:after="0" w:afterAutospacing="0" w:line="276" w:lineRule="auto"/>
        <w:ind w:leftChars="0" w:left="0" w:firstLineChars="0" w:firstLine="709"/>
        <w:jc w:val="both"/>
      </w:pPr>
      <w:proofErr w:type="spellStart"/>
      <w:r>
        <w:t>Peningkatan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digital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. Masyarakat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modus </w:t>
      </w:r>
      <w:proofErr w:type="spellStart"/>
      <w:r>
        <w:t>penipuan</w:t>
      </w:r>
      <w:proofErr w:type="spellEnd"/>
      <w:r>
        <w:t xml:space="preserve"> yang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data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digital. </w:t>
      </w:r>
      <w:proofErr w:type="spellStart"/>
      <w:r>
        <w:t>Edukasi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lastRenderedPageBreak/>
        <w:t>mengurangi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korban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Pratama</w:t>
      </w:r>
      <w:proofErr w:type="spellEnd"/>
      <w:r>
        <w:t xml:space="preserve"> (2023)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Komunikasi</w:t>
      </w:r>
      <w:proofErr w:type="spellEnd"/>
      <w:r>
        <w:t xml:space="preserve">,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digital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mengenali</w:t>
      </w:r>
      <w:proofErr w:type="spellEnd"/>
      <w:r>
        <w:t xml:space="preserve"> dan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online.</w:t>
      </w:r>
    </w:p>
    <w:p w14:paraId="32B83E27" w14:textId="77777777" w:rsidR="004C1086" w:rsidRDefault="004C1086" w:rsidP="004C1086">
      <w:pPr>
        <w:pStyle w:val="NormalWeb"/>
        <w:spacing w:before="0" w:beforeAutospacing="0" w:after="0" w:afterAutospacing="0" w:line="276" w:lineRule="auto"/>
        <w:ind w:leftChars="0" w:left="0" w:firstLineChars="0" w:firstLine="709"/>
        <w:jc w:val="both"/>
      </w:pPr>
      <w:r>
        <w:t xml:space="preserve">Peran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 juga sangat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. </w:t>
      </w:r>
      <w:proofErr w:type="spellStart"/>
      <w:r>
        <w:t>Penyedia</w:t>
      </w:r>
      <w:proofErr w:type="spellEnd"/>
      <w:r>
        <w:t xml:space="preserve"> platform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,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verifikasi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pelaporan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korban. Langkah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mempersempit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gerak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dan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bertransaksi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Rahmawati</w:t>
      </w:r>
      <w:proofErr w:type="spellEnd"/>
      <w:r>
        <w:t xml:space="preserve"> (2022)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Legislasi</w:t>
      </w:r>
      <w:proofErr w:type="spellEnd"/>
      <w:r>
        <w:t xml:space="preserve"> Indonesia, </w:t>
      </w:r>
      <w:proofErr w:type="spellStart"/>
      <w:r>
        <w:t>kolaborasi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,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dan </w:t>
      </w:r>
      <w:proofErr w:type="spellStart"/>
      <w:r>
        <w:t>penyedia</w:t>
      </w:r>
      <w:proofErr w:type="spellEnd"/>
      <w:r>
        <w:t xml:space="preserve"> platform digital </w:t>
      </w:r>
      <w:proofErr w:type="spellStart"/>
      <w:r>
        <w:t>merupakan</w:t>
      </w:r>
      <w:proofErr w:type="spellEnd"/>
      <w:r>
        <w:t xml:space="preserve"> strategi yang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menanggulangi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siber</w:t>
      </w:r>
      <w:proofErr w:type="spellEnd"/>
      <w:r>
        <w:t>.</w:t>
      </w:r>
    </w:p>
    <w:p w14:paraId="61353921" w14:textId="77777777" w:rsidR="004C1086" w:rsidRDefault="004C1086" w:rsidP="004C1086">
      <w:pPr>
        <w:pStyle w:val="NormalWeb"/>
        <w:spacing w:before="0" w:beforeAutospacing="0" w:after="0" w:afterAutospacing="0" w:line="276" w:lineRule="auto"/>
        <w:ind w:leftChars="0" w:left="0" w:firstLineChars="0" w:firstLine="709"/>
        <w:jc w:val="both"/>
      </w:pPr>
      <w:proofErr w:type="spellStart"/>
      <w:r>
        <w:t>Analisis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sangat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mengharuskan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dan </w:t>
      </w:r>
      <w:proofErr w:type="spellStart"/>
      <w:r>
        <w:t>pembaruan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berkala</w:t>
      </w:r>
      <w:proofErr w:type="spellEnd"/>
      <w:r>
        <w:t xml:space="preserve"> agar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muncul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Budhijanto</w:t>
      </w:r>
      <w:proofErr w:type="spellEnd"/>
      <w:r>
        <w:t xml:space="preserve"> (2019),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adaptif</w:t>
      </w:r>
      <w:proofErr w:type="spellEnd"/>
      <w:r>
        <w:t xml:space="preserve"> agar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optimal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di era digital.</w:t>
      </w:r>
    </w:p>
    <w:p w14:paraId="51DD9475" w14:textId="77777777" w:rsidR="004C1086" w:rsidRDefault="004C1086" w:rsidP="004C1086">
      <w:pPr>
        <w:pStyle w:val="NormalWeb"/>
        <w:spacing w:before="0" w:beforeAutospacing="0" w:after="0" w:afterAutospacing="0" w:line="276" w:lineRule="auto"/>
        <w:ind w:leftChars="0" w:left="0" w:firstLineChars="0" w:firstLine="709"/>
        <w:jc w:val="both"/>
      </w:pPr>
      <w:r>
        <w:t xml:space="preserve">Dari </w:t>
      </w:r>
      <w:proofErr w:type="spellStart"/>
      <w:r>
        <w:t>perspektif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,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mengandalkan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represif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pemidanaan</w:t>
      </w:r>
      <w:proofErr w:type="spellEnd"/>
      <w:r>
        <w:t xml:space="preserve">. </w:t>
      </w:r>
      <w:proofErr w:type="spellStart"/>
      <w:r>
        <w:t>Diperlukan</w:t>
      </w:r>
      <w:proofErr w:type="spellEnd"/>
      <w:r>
        <w:t xml:space="preserve"> pula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preventif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penguatan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digital yang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disalahgunakan</w:t>
      </w:r>
      <w:proofErr w:type="spellEnd"/>
      <w:r>
        <w:t xml:space="preserve">. </w:t>
      </w:r>
      <w:proofErr w:type="spellStart"/>
      <w:r>
        <w:t>Kebijakan</w:t>
      </w:r>
      <w:proofErr w:type="spellEnd"/>
      <w:r>
        <w:t xml:space="preserve"> yang </w:t>
      </w:r>
      <w:proofErr w:type="spellStart"/>
      <w:r>
        <w:t>komprehensif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menekan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berfokus</w:t>
      </w:r>
      <w:proofErr w:type="spellEnd"/>
      <w:r>
        <w:t xml:space="preserve"> pada </w:t>
      </w:r>
      <w:proofErr w:type="spellStart"/>
      <w:r>
        <w:t>penindakan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Muladi</w:t>
      </w:r>
      <w:proofErr w:type="spellEnd"/>
      <w:r>
        <w:t xml:space="preserve"> (2017)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Hukum IUS QUIA IUSTUM,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mengintegrasikan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penal dan non-penal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seimbang</w:t>
      </w:r>
      <w:proofErr w:type="spellEnd"/>
      <w:r>
        <w:t>.</w:t>
      </w:r>
    </w:p>
    <w:p w14:paraId="3C9534CE" w14:textId="77777777" w:rsidR="004C1086" w:rsidRDefault="004C1086" w:rsidP="004C1086">
      <w:pPr>
        <w:pStyle w:val="NormalWeb"/>
        <w:spacing w:before="0" w:beforeAutospacing="0" w:after="0" w:afterAutospacing="0" w:line="276" w:lineRule="auto"/>
        <w:ind w:leftChars="0" w:left="0" w:firstLineChars="0" w:firstLine="709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kompleksitas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penegakannya</w:t>
      </w:r>
      <w:proofErr w:type="spellEnd"/>
      <w:r>
        <w:t xml:space="preserve">. </w:t>
      </w:r>
      <w:proofErr w:type="spellStart"/>
      <w:r>
        <w:t>Keberadaan</w:t>
      </w:r>
      <w:proofErr w:type="spellEnd"/>
      <w:r>
        <w:t xml:space="preserve"> KUHP dan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menindak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,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forensik</w:t>
      </w:r>
      <w:proofErr w:type="spellEnd"/>
      <w:r>
        <w:t xml:space="preserve"> digital,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sinergi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,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dan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dan </w:t>
      </w:r>
      <w:proofErr w:type="spellStart"/>
      <w:r>
        <w:t>berkelanjutan</w:t>
      </w:r>
      <w:proofErr w:type="spellEnd"/>
      <w:r>
        <w:t>.</w:t>
      </w:r>
    </w:p>
    <w:p w14:paraId="431796AE" w14:textId="77777777" w:rsidR="004C1086" w:rsidRDefault="004C1086" w:rsidP="004C1086">
      <w:pPr>
        <w:pStyle w:val="NormalWeb"/>
        <w:ind w:left="0" w:hanging="2"/>
        <w:jc w:val="both"/>
        <w:rPr>
          <w:b/>
          <w:bCs/>
        </w:rPr>
      </w:pPr>
      <w:r w:rsidRPr="0033428E">
        <w:rPr>
          <w:b/>
          <w:bCs/>
        </w:rPr>
        <w:t>KESIMPULAN</w:t>
      </w:r>
    </w:p>
    <w:p w14:paraId="28D83AC3" w14:textId="77777777" w:rsidR="004C1086" w:rsidRDefault="004C1086" w:rsidP="004C1086">
      <w:pPr>
        <w:pStyle w:val="NormalWeb"/>
        <w:spacing w:before="0" w:beforeAutospacing="0" w:after="0" w:afterAutospacing="0" w:line="276" w:lineRule="auto"/>
        <w:ind w:leftChars="0" w:left="0" w:firstLineChars="0" w:firstLine="72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siber</w:t>
      </w:r>
      <w:proofErr w:type="spellEnd"/>
      <w:r>
        <w:t xml:space="preserve"> yang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melawan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378 Kitab </w:t>
      </w:r>
      <w:proofErr w:type="spellStart"/>
      <w:r>
        <w:t>Undang-</w:t>
      </w:r>
      <w:r>
        <w:lastRenderedPageBreak/>
        <w:t>Undang</w:t>
      </w:r>
      <w:proofErr w:type="spellEnd"/>
      <w:r>
        <w:t xml:space="preserve"> Hukum </w:t>
      </w:r>
      <w:proofErr w:type="spellStart"/>
      <w:r>
        <w:t>Pidana</w:t>
      </w:r>
      <w:proofErr w:type="spellEnd"/>
      <w:r>
        <w:t xml:space="preserve"> (KUHP),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 </w:t>
      </w:r>
      <w:proofErr w:type="spellStart"/>
      <w:r>
        <w:t>Tahun</w:t>
      </w:r>
      <w:proofErr w:type="spellEnd"/>
      <w:r>
        <w:t xml:space="preserve"> 2024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11 </w:t>
      </w:r>
      <w:proofErr w:type="spellStart"/>
      <w:r>
        <w:t>Tahun</w:t>
      </w:r>
      <w:proofErr w:type="spellEnd"/>
      <w:r>
        <w:t xml:space="preserve"> 2008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.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menindak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yang </w:t>
      </w:r>
      <w:proofErr w:type="spellStart"/>
      <w:r>
        <w:t>menggunakan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. </w:t>
      </w:r>
      <w:proofErr w:type="spellStart"/>
      <w:r>
        <w:t>Unsur-unsur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tipu</w:t>
      </w:r>
      <w:proofErr w:type="spellEnd"/>
      <w:r>
        <w:t xml:space="preserve"> </w:t>
      </w:r>
      <w:proofErr w:type="spellStart"/>
      <w:r>
        <w:t>muslihat</w:t>
      </w:r>
      <w:proofErr w:type="spellEnd"/>
      <w:r>
        <w:t xml:space="preserve">, </w:t>
      </w:r>
      <w:proofErr w:type="spellStart"/>
      <w:r>
        <w:t>rangkaian</w:t>
      </w:r>
      <w:proofErr w:type="spellEnd"/>
      <w:r>
        <w:t xml:space="preserve"> </w:t>
      </w:r>
      <w:proofErr w:type="spellStart"/>
      <w:r>
        <w:t>kebohongan</w:t>
      </w:r>
      <w:proofErr w:type="spellEnd"/>
      <w:r>
        <w:t xml:space="preserve">, dan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melawan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pertanggungjawaban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digita</w:t>
      </w:r>
      <w:proofErr w:type="spellEnd"/>
      <w:r>
        <w:t>.</w:t>
      </w:r>
    </w:p>
    <w:p w14:paraId="421C3274" w14:textId="48A624A2" w:rsidR="004C1086" w:rsidRDefault="004C1086" w:rsidP="004C1086">
      <w:pPr>
        <w:pStyle w:val="NormalWeb"/>
        <w:spacing w:before="0" w:beforeAutospacing="0" w:after="0" w:afterAutospacing="0" w:line="276" w:lineRule="auto"/>
        <w:ind w:leftChars="0" w:left="0" w:firstLineChars="0" w:firstLine="720"/>
        <w:jc w:val="both"/>
      </w:pP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, </w:t>
      </w:r>
      <w:proofErr w:type="spellStart"/>
      <w:r>
        <w:t>pembuktian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digital,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wilayah dan </w:t>
      </w:r>
      <w:proofErr w:type="spellStart"/>
      <w:r>
        <w:t>lintas</w:t>
      </w:r>
      <w:proofErr w:type="spellEnd"/>
      <w:r>
        <w:t xml:space="preserve"> negara.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dan </w:t>
      </w:r>
      <w:proofErr w:type="spellStart"/>
      <w:r>
        <w:t>forensik</w:t>
      </w:r>
      <w:proofErr w:type="spellEnd"/>
      <w:r>
        <w:t xml:space="preserve"> digital, </w:t>
      </w:r>
      <w:proofErr w:type="spellStart"/>
      <w:r>
        <w:t>penguatan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antarlembaga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penyempurnaan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preventif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literasi</w:t>
      </w:r>
      <w:proofErr w:type="spellEnd"/>
      <w:r>
        <w:t xml:space="preserve"> digital </w:t>
      </w:r>
      <w:proofErr w:type="spellStart"/>
      <w:r>
        <w:t>masyarakat</w:t>
      </w:r>
      <w:proofErr w:type="spellEnd"/>
      <w:r>
        <w:t xml:space="preserve"> dan </w:t>
      </w:r>
      <w:proofErr w:type="spellStart"/>
      <w:r>
        <w:t>penguatan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meminimalkan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sinergi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,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digital, dan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dan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kepastian</w:t>
      </w:r>
      <w:proofErr w:type="spellEnd"/>
      <w:r>
        <w:t xml:space="preserve"> dan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>.</w:t>
      </w:r>
    </w:p>
    <w:p w14:paraId="4EC862D5" w14:textId="77777777" w:rsidR="004C1086" w:rsidRDefault="004C1086" w:rsidP="004C1086">
      <w:pPr>
        <w:pStyle w:val="NormalWeb"/>
        <w:ind w:left="0" w:hanging="2"/>
        <w:jc w:val="both"/>
        <w:rPr>
          <w:b/>
          <w:bCs/>
        </w:rPr>
      </w:pPr>
      <w:r>
        <w:rPr>
          <w:b/>
          <w:bCs/>
        </w:rPr>
        <w:t>DAFTAR PUSTAKA</w:t>
      </w:r>
    </w:p>
    <w:p w14:paraId="78846549" w14:textId="77777777" w:rsidR="004C1086" w:rsidRDefault="004C1086" w:rsidP="004C1086">
      <w:pPr>
        <w:pStyle w:val="NormalWeb"/>
        <w:spacing w:before="0" w:beforeAutospacing="0" w:after="0" w:afterAutospacing="0" w:line="360" w:lineRule="auto"/>
        <w:ind w:left="862" w:hangingChars="360" w:hanging="864"/>
        <w:jc w:val="both"/>
      </w:pPr>
      <w:r>
        <w:t xml:space="preserve">Arifin, R. (2021).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penanggulangan</w:t>
      </w:r>
      <w:proofErr w:type="spellEnd"/>
      <w:r>
        <w:t xml:space="preserve"> cybercrime di Indonesia. </w:t>
      </w:r>
      <w:proofErr w:type="spellStart"/>
      <w:r>
        <w:rPr>
          <w:rStyle w:val="Emphasis"/>
        </w:rPr>
        <w:t>Jurnal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Yudisial</w:t>
      </w:r>
      <w:proofErr w:type="spellEnd"/>
      <w:r>
        <w:rPr>
          <w:rStyle w:val="Emphasis"/>
        </w:rPr>
        <w:t>, 14</w:t>
      </w:r>
      <w:r>
        <w:t>(2), 145–160.</w:t>
      </w:r>
    </w:p>
    <w:p w14:paraId="0A2E8E8B" w14:textId="77777777" w:rsidR="004C1086" w:rsidRDefault="004C1086" w:rsidP="004C1086">
      <w:pPr>
        <w:pStyle w:val="NormalWeb"/>
        <w:spacing w:before="0" w:beforeAutospacing="0" w:after="0" w:afterAutospacing="0" w:line="360" w:lineRule="auto"/>
        <w:ind w:left="862" w:hangingChars="360" w:hanging="864"/>
        <w:jc w:val="both"/>
      </w:pPr>
      <w:proofErr w:type="spellStart"/>
      <w:r>
        <w:t>Budhijanto</w:t>
      </w:r>
      <w:proofErr w:type="spellEnd"/>
      <w:r>
        <w:t xml:space="preserve">, D. (2019).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di Indonesia. </w:t>
      </w:r>
      <w:proofErr w:type="spellStart"/>
      <w:r>
        <w:rPr>
          <w:rStyle w:val="Emphasis"/>
        </w:rPr>
        <w:t>Jurnal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RechtsVinding</w:t>
      </w:r>
      <w:proofErr w:type="spellEnd"/>
      <w:r>
        <w:rPr>
          <w:rStyle w:val="Emphasis"/>
        </w:rPr>
        <w:t xml:space="preserve">: Media </w:t>
      </w:r>
      <w:proofErr w:type="spellStart"/>
      <w:r>
        <w:rPr>
          <w:rStyle w:val="Emphasis"/>
        </w:rPr>
        <w:t>Pembinaan</w:t>
      </w:r>
      <w:proofErr w:type="spellEnd"/>
      <w:r>
        <w:rPr>
          <w:rStyle w:val="Emphasis"/>
        </w:rPr>
        <w:t xml:space="preserve"> Hukum Nasional, 8</w:t>
      </w:r>
      <w:r>
        <w:t>(3), 307–322.</w:t>
      </w:r>
    </w:p>
    <w:p w14:paraId="371F2910" w14:textId="77777777" w:rsidR="004C1086" w:rsidRDefault="004C1086" w:rsidP="004C1086">
      <w:pPr>
        <w:pStyle w:val="NormalWeb"/>
        <w:spacing w:before="0" w:beforeAutospacing="0" w:after="0" w:afterAutospacing="0" w:line="360" w:lineRule="auto"/>
        <w:ind w:left="862" w:hangingChars="360" w:hanging="864"/>
        <w:jc w:val="both"/>
      </w:pPr>
      <w:r>
        <w:t xml:space="preserve">Ibrahim, J. (2013). </w:t>
      </w:r>
      <w:proofErr w:type="spellStart"/>
      <w:r>
        <w:rPr>
          <w:rStyle w:val="Emphasis"/>
        </w:rPr>
        <w:t>Teori</w:t>
      </w:r>
      <w:proofErr w:type="spellEnd"/>
      <w:r>
        <w:rPr>
          <w:rStyle w:val="Emphasis"/>
        </w:rPr>
        <w:t xml:space="preserve"> dan </w:t>
      </w:r>
      <w:proofErr w:type="spellStart"/>
      <w:r>
        <w:rPr>
          <w:rStyle w:val="Emphasis"/>
        </w:rPr>
        <w:t>metodologi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penelitian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hukum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normatif</w:t>
      </w:r>
      <w:proofErr w:type="spellEnd"/>
      <w:r>
        <w:t xml:space="preserve">. </w:t>
      </w:r>
      <w:proofErr w:type="spellStart"/>
      <w:r>
        <w:t>Bayumedia</w:t>
      </w:r>
      <w:proofErr w:type="spellEnd"/>
      <w:r>
        <w:t xml:space="preserve"> Publishing.</w:t>
      </w:r>
    </w:p>
    <w:p w14:paraId="417717FD" w14:textId="77777777" w:rsidR="004C1086" w:rsidRDefault="004C1086" w:rsidP="004C1086">
      <w:pPr>
        <w:pStyle w:val="NormalWeb"/>
        <w:spacing w:before="0" w:beforeAutospacing="0" w:after="0" w:afterAutospacing="0" w:line="360" w:lineRule="auto"/>
        <w:ind w:left="862" w:hangingChars="360" w:hanging="864"/>
        <w:jc w:val="both"/>
      </w:pPr>
      <w:proofErr w:type="spellStart"/>
      <w:r>
        <w:t>Marzuki</w:t>
      </w:r>
      <w:proofErr w:type="spellEnd"/>
      <w:r>
        <w:t xml:space="preserve">, P. M. (2017). </w:t>
      </w:r>
      <w:proofErr w:type="spellStart"/>
      <w:r>
        <w:rPr>
          <w:rStyle w:val="Emphasis"/>
        </w:rPr>
        <w:t>Penelitian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hukum</w:t>
      </w:r>
      <w:proofErr w:type="spellEnd"/>
      <w:r>
        <w:t xml:space="preserve"> (</w:t>
      </w:r>
      <w:proofErr w:type="spellStart"/>
      <w:r>
        <w:t>Edisi</w:t>
      </w:r>
      <w:proofErr w:type="spellEnd"/>
      <w:r>
        <w:t xml:space="preserve"> </w:t>
      </w:r>
      <w:proofErr w:type="spellStart"/>
      <w:r>
        <w:t>Revisi</w:t>
      </w:r>
      <w:proofErr w:type="spellEnd"/>
      <w:r>
        <w:t xml:space="preserve">). </w:t>
      </w:r>
      <w:proofErr w:type="spellStart"/>
      <w:r>
        <w:t>Kencana</w:t>
      </w:r>
      <w:proofErr w:type="spellEnd"/>
      <w:r>
        <w:t>.</w:t>
      </w:r>
    </w:p>
    <w:p w14:paraId="10E02233" w14:textId="77777777" w:rsidR="004C1086" w:rsidRDefault="004C1086" w:rsidP="004C1086">
      <w:pPr>
        <w:pStyle w:val="NormalWeb"/>
        <w:spacing w:before="0" w:beforeAutospacing="0" w:after="0" w:afterAutospacing="0" w:line="360" w:lineRule="auto"/>
        <w:ind w:left="862" w:hangingChars="360" w:hanging="864"/>
        <w:jc w:val="both"/>
      </w:pPr>
      <w:proofErr w:type="spellStart"/>
      <w:r>
        <w:t>Maskun</w:t>
      </w:r>
      <w:proofErr w:type="spellEnd"/>
      <w:r>
        <w:t xml:space="preserve">. (2013). </w:t>
      </w:r>
      <w:proofErr w:type="spellStart"/>
      <w:r>
        <w:rPr>
          <w:rStyle w:val="Emphasis"/>
        </w:rPr>
        <w:t>Kejahatan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siber</w:t>
      </w:r>
      <w:proofErr w:type="spellEnd"/>
      <w:r>
        <w:rPr>
          <w:rStyle w:val="Emphasis"/>
        </w:rPr>
        <w:t xml:space="preserve"> (</w:t>
      </w:r>
      <w:proofErr w:type="spellStart"/>
      <w:r>
        <w:rPr>
          <w:rStyle w:val="Emphasis"/>
        </w:rPr>
        <w:t>Cyber crime</w:t>
      </w:r>
      <w:proofErr w:type="spellEnd"/>
      <w:r>
        <w:rPr>
          <w:rStyle w:val="Emphasis"/>
        </w:rPr>
        <w:t xml:space="preserve">): </w:t>
      </w:r>
      <w:proofErr w:type="spellStart"/>
      <w:r>
        <w:rPr>
          <w:rStyle w:val="Emphasis"/>
        </w:rPr>
        <w:t>Suatu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pengantar</w:t>
      </w:r>
      <w:proofErr w:type="spellEnd"/>
      <w:r>
        <w:t xml:space="preserve">. </w:t>
      </w:r>
      <w:proofErr w:type="spellStart"/>
      <w:r>
        <w:t>Kencana</w:t>
      </w:r>
      <w:proofErr w:type="spellEnd"/>
      <w:r>
        <w:t xml:space="preserve"> </w:t>
      </w:r>
      <w:proofErr w:type="spellStart"/>
      <w:r>
        <w:t>Prenada</w:t>
      </w:r>
      <w:proofErr w:type="spellEnd"/>
      <w:r>
        <w:t xml:space="preserve"> Media Group.</w:t>
      </w:r>
    </w:p>
    <w:p w14:paraId="018CB77A" w14:textId="77777777" w:rsidR="004C1086" w:rsidRDefault="004C1086" w:rsidP="004C1086">
      <w:pPr>
        <w:pStyle w:val="NormalWeb"/>
        <w:spacing w:before="0" w:beforeAutospacing="0" w:after="0" w:afterAutospacing="0" w:line="360" w:lineRule="auto"/>
        <w:ind w:left="862" w:hangingChars="360" w:hanging="864"/>
        <w:jc w:val="both"/>
      </w:pPr>
      <w:proofErr w:type="spellStart"/>
      <w:r>
        <w:t>Muladi</w:t>
      </w:r>
      <w:proofErr w:type="spellEnd"/>
      <w:r>
        <w:t xml:space="preserve">. (2017).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siber</w:t>
      </w:r>
      <w:proofErr w:type="spellEnd"/>
      <w:r>
        <w:t xml:space="preserve">. </w:t>
      </w:r>
      <w:proofErr w:type="spellStart"/>
      <w:r>
        <w:rPr>
          <w:rStyle w:val="Emphasis"/>
        </w:rPr>
        <w:t>Jurnal</w:t>
      </w:r>
      <w:proofErr w:type="spellEnd"/>
      <w:r>
        <w:rPr>
          <w:rStyle w:val="Emphasis"/>
        </w:rPr>
        <w:t xml:space="preserve"> IUS QUIA IUSTUM, 24</w:t>
      </w:r>
      <w:r>
        <w:t>(3), 369–385.</w:t>
      </w:r>
    </w:p>
    <w:p w14:paraId="0E677899" w14:textId="77777777" w:rsidR="004C1086" w:rsidRDefault="004C1086" w:rsidP="004C1086">
      <w:pPr>
        <w:pStyle w:val="NormalWeb"/>
        <w:spacing w:before="0" w:beforeAutospacing="0" w:after="0" w:afterAutospacing="0" w:line="360" w:lineRule="auto"/>
        <w:ind w:left="862" w:hangingChars="360" w:hanging="864"/>
        <w:jc w:val="both"/>
      </w:pPr>
      <w:proofErr w:type="spellStart"/>
      <w:r>
        <w:t>Nugraha</w:t>
      </w:r>
      <w:proofErr w:type="spellEnd"/>
      <w:r>
        <w:t xml:space="preserve">, A., &amp; </w:t>
      </w:r>
      <w:proofErr w:type="spellStart"/>
      <w:r>
        <w:t>Ramadhani</w:t>
      </w:r>
      <w:proofErr w:type="spellEnd"/>
      <w:r>
        <w:t xml:space="preserve">, N. (2022).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 xml:space="preserve"> online di Indonesia. </w:t>
      </w:r>
      <w:proofErr w:type="spellStart"/>
      <w:r>
        <w:rPr>
          <w:rStyle w:val="Emphasis"/>
        </w:rPr>
        <w:t>Jurnal</w:t>
      </w:r>
      <w:proofErr w:type="spellEnd"/>
      <w:r>
        <w:rPr>
          <w:rStyle w:val="Emphasis"/>
        </w:rPr>
        <w:t xml:space="preserve"> Hukum dan </w:t>
      </w:r>
      <w:proofErr w:type="spellStart"/>
      <w:r>
        <w:rPr>
          <w:rStyle w:val="Emphasis"/>
        </w:rPr>
        <w:t>Peradilan</w:t>
      </w:r>
      <w:proofErr w:type="spellEnd"/>
      <w:r>
        <w:rPr>
          <w:rStyle w:val="Emphasis"/>
        </w:rPr>
        <w:t>, 11</w:t>
      </w:r>
      <w:r>
        <w:t>(2), 245–260.</w:t>
      </w:r>
    </w:p>
    <w:p w14:paraId="328A3EAE" w14:textId="77777777" w:rsidR="004C1086" w:rsidRDefault="004C1086" w:rsidP="004C1086">
      <w:pPr>
        <w:pStyle w:val="NormalWeb"/>
        <w:spacing w:before="0" w:beforeAutospacing="0" w:after="0" w:afterAutospacing="0" w:line="360" w:lineRule="auto"/>
        <w:ind w:left="862" w:hangingChars="360" w:hanging="864"/>
        <w:jc w:val="both"/>
      </w:pPr>
      <w:proofErr w:type="spellStart"/>
      <w:r>
        <w:t>Pratama</w:t>
      </w:r>
      <w:proofErr w:type="spellEnd"/>
      <w:r>
        <w:t xml:space="preserve">, I. P. A. E. (2023). </w:t>
      </w:r>
      <w:proofErr w:type="spellStart"/>
      <w:r>
        <w:t>Literasi</w:t>
      </w:r>
      <w:proofErr w:type="spellEnd"/>
      <w:r>
        <w:t xml:space="preserve"> digital dan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siber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Indonesia. </w:t>
      </w:r>
      <w:proofErr w:type="spellStart"/>
      <w:r>
        <w:rPr>
          <w:rStyle w:val="Emphasis"/>
        </w:rPr>
        <w:t>Jurnal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Teknologi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Informasi</w:t>
      </w:r>
      <w:proofErr w:type="spellEnd"/>
      <w:r>
        <w:rPr>
          <w:rStyle w:val="Emphasis"/>
        </w:rPr>
        <w:t xml:space="preserve"> dan </w:t>
      </w:r>
      <w:proofErr w:type="spellStart"/>
      <w:r>
        <w:rPr>
          <w:rStyle w:val="Emphasis"/>
        </w:rPr>
        <w:t>Komunikasi</w:t>
      </w:r>
      <w:proofErr w:type="spellEnd"/>
      <w:r>
        <w:rPr>
          <w:rStyle w:val="Emphasis"/>
        </w:rPr>
        <w:t>, 14</w:t>
      </w:r>
      <w:r>
        <w:t>(1), 45–58.</w:t>
      </w:r>
    </w:p>
    <w:p w14:paraId="7C9367EB" w14:textId="77777777" w:rsidR="004C1086" w:rsidRDefault="004C1086" w:rsidP="004C1086">
      <w:pPr>
        <w:pStyle w:val="NormalWeb"/>
        <w:spacing w:before="0" w:beforeAutospacing="0" w:after="0" w:afterAutospacing="0" w:line="360" w:lineRule="auto"/>
        <w:ind w:left="862" w:hangingChars="360" w:hanging="864"/>
        <w:jc w:val="both"/>
      </w:pPr>
      <w:proofErr w:type="spellStart"/>
      <w:r>
        <w:lastRenderedPageBreak/>
        <w:t>Rahmawati</w:t>
      </w:r>
      <w:proofErr w:type="spellEnd"/>
      <w:r>
        <w:t xml:space="preserve">, D. (2022).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siber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Indonesia. </w:t>
      </w:r>
      <w:proofErr w:type="spellStart"/>
      <w:r>
        <w:rPr>
          <w:rStyle w:val="Emphasis"/>
        </w:rPr>
        <w:t>Jurnal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Legislasi</w:t>
      </w:r>
      <w:proofErr w:type="spellEnd"/>
      <w:r>
        <w:rPr>
          <w:rStyle w:val="Emphasis"/>
        </w:rPr>
        <w:t xml:space="preserve"> Indonesia, 19</w:t>
      </w:r>
      <w:r>
        <w:t>(4), 521–536.</w:t>
      </w:r>
    </w:p>
    <w:p w14:paraId="3E06AE9A" w14:textId="77777777" w:rsidR="004C1086" w:rsidRDefault="004C1086" w:rsidP="004C1086">
      <w:pPr>
        <w:pStyle w:val="NormalWeb"/>
        <w:spacing w:before="0" w:beforeAutospacing="0" w:after="0" w:afterAutospacing="0" w:line="360" w:lineRule="auto"/>
        <w:ind w:left="862" w:hangingChars="360" w:hanging="864"/>
        <w:jc w:val="both"/>
      </w:pPr>
      <w:proofErr w:type="spellStart"/>
      <w:r>
        <w:t>Republik</w:t>
      </w:r>
      <w:proofErr w:type="spellEnd"/>
      <w:r>
        <w:t xml:space="preserve"> Indonesia. (2008). </w:t>
      </w:r>
      <w:proofErr w:type="spellStart"/>
      <w:r>
        <w:rPr>
          <w:rStyle w:val="Emphasis"/>
        </w:rPr>
        <w:t>Undang-Undang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Nomor</w:t>
      </w:r>
      <w:proofErr w:type="spellEnd"/>
      <w:r>
        <w:rPr>
          <w:rStyle w:val="Emphasis"/>
        </w:rPr>
        <w:t xml:space="preserve"> 11 </w:t>
      </w:r>
      <w:proofErr w:type="spellStart"/>
      <w:r>
        <w:rPr>
          <w:rStyle w:val="Emphasis"/>
        </w:rPr>
        <w:t>Tahun</w:t>
      </w:r>
      <w:proofErr w:type="spellEnd"/>
      <w:r>
        <w:rPr>
          <w:rStyle w:val="Emphasis"/>
        </w:rPr>
        <w:t xml:space="preserve"> 2008 </w:t>
      </w:r>
      <w:proofErr w:type="spellStart"/>
      <w:r>
        <w:rPr>
          <w:rStyle w:val="Emphasis"/>
        </w:rPr>
        <w:t>tentang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Informasi</w:t>
      </w:r>
      <w:proofErr w:type="spellEnd"/>
      <w:r>
        <w:rPr>
          <w:rStyle w:val="Emphasis"/>
        </w:rPr>
        <w:t xml:space="preserve"> dan </w:t>
      </w:r>
      <w:proofErr w:type="spellStart"/>
      <w:r>
        <w:rPr>
          <w:rStyle w:val="Emphasis"/>
        </w:rPr>
        <w:t>Transaksi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Elektronik</w:t>
      </w:r>
      <w:proofErr w:type="spellEnd"/>
      <w:r>
        <w:t xml:space="preserve">. </w:t>
      </w:r>
      <w:proofErr w:type="spellStart"/>
      <w:r>
        <w:t>Lembaran</w:t>
      </w:r>
      <w:proofErr w:type="spellEnd"/>
      <w:r>
        <w:t xml:space="preserve"> Negara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Tahun</w:t>
      </w:r>
      <w:proofErr w:type="spellEnd"/>
      <w:r>
        <w:t xml:space="preserve"> 2008 </w:t>
      </w:r>
      <w:proofErr w:type="spellStart"/>
      <w:r>
        <w:t>Nomor</w:t>
      </w:r>
      <w:proofErr w:type="spellEnd"/>
      <w:r>
        <w:t xml:space="preserve"> 58.</w:t>
      </w:r>
    </w:p>
    <w:p w14:paraId="21650E5B" w14:textId="77777777" w:rsidR="004C1086" w:rsidRDefault="004C1086" w:rsidP="004C1086">
      <w:pPr>
        <w:pStyle w:val="NormalWeb"/>
        <w:spacing w:before="0" w:beforeAutospacing="0" w:after="0" w:afterAutospacing="0" w:line="360" w:lineRule="auto"/>
        <w:ind w:left="862" w:hangingChars="360" w:hanging="864"/>
        <w:jc w:val="both"/>
      </w:pPr>
      <w:proofErr w:type="spellStart"/>
      <w:r>
        <w:t>Republik</w:t>
      </w:r>
      <w:proofErr w:type="spellEnd"/>
      <w:r>
        <w:t xml:space="preserve"> Indonesia. (2016). </w:t>
      </w:r>
      <w:proofErr w:type="spellStart"/>
      <w:r>
        <w:rPr>
          <w:rStyle w:val="Emphasis"/>
        </w:rPr>
        <w:t>Undang-Undang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Nomor</w:t>
      </w:r>
      <w:proofErr w:type="spellEnd"/>
      <w:r>
        <w:rPr>
          <w:rStyle w:val="Emphasis"/>
        </w:rPr>
        <w:t xml:space="preserve"> 19 </w:t>
      </w:r>
      <w:proofErr w:type="spellStart"/>
      <w:r>
        <w:rPr>
          <w:rStyle w:val="Emphasis"/>
        </w:rPr>
        <w:t>Tahun</w:t>
      </w:r>
      <w:proofErr w:type="spellEnd"/>
      <w:r>
        <w:rPr>
          <w:rStyle w:val="Emphasis"/>
        </w:rPr>
        <w:t xml:space="preserve"> 2016 </w:t>
      </w:r>
      <w:proofErr w:type="spellStart"/>
      <w:r>
        <w:rPr>
          <w:rStyle w:val="Emphasis"/>
        </w:rPr>
        <w:t>tentang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Perubahan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atas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Undang-Undang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Nomor</w:t>
      </w:r>
      <w:proofErr w:type="spellEnd"/>
      <w:r>
        <w:rPr>
          <w:rStyle w:val="Emphasis"/>
        </w:rPr>
        <w:t xml:space="preserve"> 11 </w:t>
      </w:r>
      <w:proofErr w:type="spellStart"/>
      <w:r>
        <w:rPr>
          <w:rStyle w:val="Emphasis"/>
        </w:rPr>
        <w:t>Tahun</w:t>
      </w:r>
      <w:proofErr w:type="spellEnd"/>
      <w:r>
        <w:rPr>
          <w:rStyle w:val="Emphasis"/>
        </w:rPr>
        <w:t xml:space="preserve"> 2008 </w:t>
      </w:r>
      <w:proofErr w:type="spellStart"/>
      <w:r>
        <w:rPr>
          <w:rStyle w:val="Emphasis"/>
        </w:rPr>
        <w:t>tentang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Informasi</w:t>
      </w:r>
      <w:proofErr w:type="spellEnd"/>
      <w:r>
        <w:rPr>
          <w:rStyle w:val="Emphasis"/>
        </w:rPr>
        <w:t xml:space="preserve"> dan </w:t>
      </w:r>
      <w:proofErr w:type="spellStart"/>
      <w:r>
        <w:rPr>
          <w:rStyle w:val="Emphasis"/>
        </w:rPr>
        <w:t>Transaksi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Elektronik</w:t>
      </w:r>
      <w:proofErr w:type="spellEnd"/>
      <w:r>
        <w:t xml:space="preserve">. </w:t>
      </w:r>
      <w:proofErr w:type="spellStart"/>
      <w:r>
        <w:t>Lembaran</w:t>
      </w:r>
      <w:proofErr w:type="spellEnd"/>
      <w:r>
        <w:t xml:space="preserve"> Negara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Tahun</w:t>
      </w:r>
      <w:proofErr w:type="spellEnd"/>
      <w:r>
        <w:t xml:space="preserve"> 2016 </w:t>
      </w:r>
      <w:proofErr w:type="spellStart"/>
      <w:r>
        <w:t>Nomor</w:t>
      </w:r>
      <w:proofErr w:type="spellEnd"/>
      <w:r>
        <w:t xml:space="preserve"> 251.</w:t>
      </w:r>
    </w:p>
    <w:p w14:paraId="3CE48CAE" w14:textId="77777777" w:rsidR="004C1086" w:rsidRDefault="004C1086" w:rsidP="004C1086">
      <w:pPr>
        <w:pStyle w:val="NormalWeb"/>
        <w:spacing w:before="0" w:beforeAutospacing="0" w:after="0" w:afterAutospacing="0" w:line="360" w:lineRule="auto"/>
        <w:ind w:left="862" w:hangingChars="360" w:hanging="864"/>
        <w:jc w:val="both"/>
      </w:pPr>
      <w:proofErr w:type="spellStart"/>
      <w:r>
        <w:t>Republik</w:t>
      </w:r>
      <w:proofErr w:type="spellEnd"/>
      <w:r>
        <w:t xml:space="preserve"> Indonesia. (2023). </w:t>
      </w:r>
      <w:proofErr w:type="spellStart"/>
      <w:r>
        <w:rPr>
          <w:rStyle w:val="Emphasis"/>
        </w:rPr>
        <w:t>Undang-Undang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Nomor</w:t>
      </w:r>
      <w:proofErr w:type="spellEnd"/>
      <w:r>
        <w:rPr>
          <w:rStyle w:val="Emphasis"/>
        </w:rPr>
        <w:t xml:space="preserve"> 1 </w:t>
      </w:r>
      <w:proofErr w:type="spellStart"/>
      <w:r>
        <w:rPr>
          <w:rStyle w:val="Emphasis"/>
        </w:rPr>
        <w:t>Tahun</w:t>
      </w:r>
      <w:proofErr w:type="spellEnd"/>
      <w:r>
        <w:rPr>
          <w:rStyle w:val="Emphasis"/>
        </w:rPr>
        <w:t xml:space="preserve"> 2023 </w:t>
      </w:r>
      <w:proofErr w:type="spellStart"/>
      <w:r>
        <w:rPr>
          <w:rStyle w:val="Emphasis"/>
        </w:rPr>
        <w:t>tentang</w:t>
      </w:r>
      <w:proofErr w:type="spellEnd"/>
      <w:r>
        <w:rPr>
          <w:rStyle w:val="Emphasis"/>
        </w:rPr>
        <w:t xml:space="preserve"> Kitab </w:t>
      </w:r>
      <w:proofErr w:type="spellStart"/>
      <w:r>
        <w:rPr>
          <w:rStyle w:val="Emphasis"/>
        </w:rPr>
        <w:t>Undang-Undang</w:t>
      </w:r>
      <w:proofErr w:type="spellEnd"/>
      <w:r>
        <w:rPr>
          <w:rStyle w:val="Emphasis"/>
        </w:rPr>
        <w:t xml:space="preserve"> Hukum </w:t>
      </w:r>
      <w:proofErr w:type="spellStart"/>
      <w:r>
        <w:rPr>
          <w:rStyle w:val="Emphasis"/>
        </w:rPr>
        <w:t>Pidana</w:t>
      </w:r>
      <w:proofErr w:type="spellEnd"/>
      <w:r>
        <w:t xml:space="preserve">. </w:t>
      </w:r>
      <w:proofErr w:type="spellStart"/>
      <w:r>
        <w:t>Lembaran</w:t>
      </w:r>
      <w:proofErr w:type="spellEnd"/>
      <w:r>
        <w:t xml:space="preserve"> Negara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Tahun</w:t>
      </w:r>
      <w:proofErr w:type="spellEnd"/>
      <w:r>
        <w:t xml:space="preserve"> 2023 </w:t>
      </w:r>
      <w:proofErr w:type="spellStart"/>
      <w:r>
        <w:t>Nomor</w:t>
      </w:r>
      <w:proofErr w:type="spellEnd"/>
      <w:r>
        <w:t xml:space="preserve"> 1.</w:t>
      </w:r>
    </w:p>
    <w:p w14:paraId="26F5BDF6" w14:textId="77777777" w:rsidR="004C1086" w:rsidRDefault="004C1086" w:rsidP="004C1086">
      <w:pPr>
        <w:pStyle w:val="NormalWeb"/>
        <w:spacing w:before="0" w:beforeAutospacing="0" w:after="0" w:afterAutospacing="0" w:line="360" w:lineRule="auto"/>
        <w:ind w:left="862" w:hangingChars="360" w:hanging="864"/>
        <w:jc w:val="both"/>
      </w:pPr>
      <w:proofErr w:type="spellStart"/>
      <w:r>
        <w:t>Republik</w:t>
      </w:r>
      <w:proofErr w:type="spellEnd"/>
      <w:r>
        <w:t xml:space="preserve"> Indonesia. (2024). </w:t>
      </w:r>
      <w:proofErr w:type="spellStart"/>
      <w:r>
        <w:rPr>
          <w:rStyle w:val="Emphasis"/>
        </w:rPr>
        <w:t>Undang-Undang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Nomor</w:t>
      </w:r>
      <w:proofErr w:type="spellEnd"/>
      <w:r>
        <w:rPr>
          <w:rStyle w:val="Emphasis"/>
        </w:rPr>
        <w:t xml:space="preserve"> 1 </w:t>
      </w:r>
      <w:proofErr w:type="spellStart"/>
      <w:r>
        <w:rPr>
          <w:rStyle w:val="Emphasis"/>
        </w:rPr>
        <w:t>Tahun</w:t>
      </w:r>
      <w:proofErr w:type="spellEnd"/>
      <w:r>
        <w:rPr>
          <w:rStyle w:val="Emphasis"/>
        </w:rPr>
        <w:t xml:space="preserve"> 2024 </w:t>
      </w:r>
      <w:proofErr w:type="spellStart"/>
      <w:r>
        <w:rPr>
          <w:rStyle w:val="Emphasis"/>
        </w:rPr>
        <w:t>tentang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Perubahan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Kedua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atas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Undang-Undang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Nomor</w:t>
      </w:r>
      <w:proofErr w:type="spellEnd"/>
      <w:r>
        <w:rPr>
          <w:rStyle w:val="Emphasis"/>
        </w:rPr>
        <w:t xml:space="preserve"> 11 </w:t>
      </w:r>
      <w:proofErr w:type="spellStart"/>
      <w:r>
        <w:rPr>
          <w:rStyle w:val="Emphasis"/>
        </w:rPr>
        <w:t>Tahun</w:t>
      </w:r>
      <w:proofErr w:type="spellEnd"/>
      <w:r>
        <w:rPr>
          <w:rStyle w:val="Emphasis"/>
        </w:rPr>
        <w:t xml:space="preserve"> 2008 </w:t>
      </w:r>
      <w:proofErr w:type="spellStart"/>
      <w:r>
        <w:rPr>
          <w:rStyle w:val="Emphasis"/>
        </w:rPr>
        <w:t>tentang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Informasi</w:t>
      </w:r>
      <w:proofErr w:type="spellEnd"/>
      <w:r>
        <w:rPr>
          <w:rStyle w:val="Emphasis"/>
        </w:rPr>
        <w:t xml:space="preserve"> dan </w:t>
      </w:r>
      <w:proofErr w:type="spellStart"/>
      <w:r>
        <w:rPr>
          <w:rStyle w:val="Emphasis"/>
        </w:rPr>
        <w:t>Transaksi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Elektronik</w:t>
      </w:r>
      <w:proofErr w:type="spellEnd"/>
      <w:r>
        <w:t xml:space="preserve">. </w:t>
      </w:r>
      <w:proofErr w:type="spellStart"/>
      <w:r>
        <w:t>Lembaran</w:t>
      </w:r>
      <w:proofErr w:type="spellEnd"/>
      <w:r>
        <w:t xml:space="preserve"> Negara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Tahun</w:t>
      </w:r>
      <w:proofErr w:type="spellEnd"/>
      <w:r>
        <w:t xml:space="preserve"> 2024 </w:t>
      </w:r>
      <w:proofErr w:type="spellStart"/>
      <w:r>
        <w:t>Nomor</w:t>
      </w:r>
      <w:proofErr w:type="spellEnd"/>
      <w:r>
        <w:t xml:space="preserve"> 1.</w:t>
      </w:r>
    </w:p>
    <w:p w14:paraId="3C855C89" w14:textId="77777777" w:rsidR="004C1086" w:rsidRDefault="004C1086" w:rsidP="004C1086">
      <w:pPr>
        <w:pStyle w:val="NormalWeb"/>
        <w:spacing w:before="0" w:beforeAutospacing="0" w:after="0" w:afterAutospacing="0" w:line="360" w:lineRule="auto"/>
        <w:ind w:left="862" w:hangingChars="360" w:hanging="864"/>
        <w:jc w:val="both"/>
      </w:pPr>
      <w:r>
        <w:t xml:space="preserve">Sari, N., &amp; Kurniawan, A. (2022). </w:t>
      </w:r>
      <w:proofErr w:type="spellStart"/>
      <w:r>
        <w:t>Kedudukan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pembuktian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siber</w:t>
      </w:r>
      <w:proofErr w:type="spellEnd"/>
      <w:r>
        <w:t xml:space="preserve">. </w:t>
      </w:r>
      <w:proofErr w:type="spellStart"/>
      <w:r>
        <w:rPr>
          <w:rStyle w:val="Emphasis"/>
        </w:rPr>
        <w:t>Jurnal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Ius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Quia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Iustum</w:t>
      </w:r>
      <w:proofErr w:type="spellEnd"/>
      <w:r>
        <w:rPr>
          <w:rStyle w:val="Emphasis"/>
        </w:rPr>
        <w:t>, 29</w:t>
      </w:r>
      <w:r>
        <w:t>(1), 89–105.</w:t>
      </w:r>
    </w:p>
    <w:p w14:paraId="633BC943" w14:textId="77777777" w:rsidR="004C1086" w:rsidRDefault="004C1086" w:rsidP="004C1086">
      <w:pPr>
        <w:pStyle w:val="NormalWeb"/>
        <w:spacing w:before="0" w:beforeAutospacing="0" w:after="0" w:afterAutospacing="0" w:line="360" w:lineRule="auto"/>
        <w:ind w:left="862" w:hangingChars="360" w:hanging="864"/>
        <w:jc w:val="both"/>
      </w:pPr>
      <w:proofErr w:type="spellStart"/>
      <w:r>
        <w:t>Sitompul</w:t>
      </w:r>
      <w:proofErr w:type="spellEnd"/>
      <w:r>
        <w:t xml:space="preserve">, J. (2012). </w:t>
      </w:r>
      <w:r>
        <w:rPr>
          <w:rStyle w:val="Emphasis"/>
        </w:rPr>
        <w:t xml:space="preserve">Cyberspace, cybercrimes, cyberlaw: </w:t>
      </w:r>
      <w:proofErr w:type="spellStart"/>
      <w:r>
        <w:rPr>
          <w:rStyle w:val="Emphasis"/>
        </w:rPr>
        <w:t>Tinjauan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aspek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hukum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pidana</w:t>
      </w:r>
      <w:proofErr w:type="spellEnd"/>
      <w:r>
        <w:t xml:space="preserve">. PT </w:t>
      </w:r>
      <w:proofErr w:type="spellStart"/>
      <w:r>
        <w:t>Tatanusa</w:t>
      </w:r>
      <w:proofErr w:type="spellEnd"/>
      <w:r>
        <w:t>.</w:t>
      </w:r>
    </w:p>
    <w:p w14:paraId="07A4F2D9" w14:textId="77777777" w:rsidR="004C1086" w:rsidRDefault="004C1086" w:rsidP="004C1086">
      <w:pPr>
        <w:pStyle w:val="NormalWeb"/>
        <w:spacing w:before="0" w:beforeAutospacing="0" w:after="0" w:afterAutospacing="0" w:line="360" w:lineRule="auto"/>
        <w:ind w:left="862" w:hangingChars="360" w:hanging="864"/>
        <w:jc w:val="both"/>
      </w:pPr>
      <w:proofErr w:type="spellStart"/>
      <w:r>
        <w:t>Soekanto</w:t>
      </w:r>
      <w:proofErr w:type="spellEnd"/>
      <w:r>
        <w:t xml:space="preserve">, S., &amp; </w:t>
      </w:r>
      <w:proofErr w:type="spellStart"/>
      <w:r>
        <w:t>Mamudji</w:t>
      </w:r>
      <w:proofErr w:type="spellEnd"/>
      <w:r>
        <w:t xml:space="preserve">, S. (2015). </w:t>
      </w:r>
      <w:proofErr w:type="spellStart"/>
      <w:r>
        <w:rPr>
          <w:rStyle w:val="Emphasis"/>
        </w:rPr>
        <w:t>Penelitian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hukum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normatif</w:t>
      </w:r>
      <w:proofErr w:type="spellEnd"/>
      <w:r>
        <w:rPr>
          <w:rStyle w:val="Emphasis"/>
        </w:rPr>
        <w:t xml:space="preserve">: </w:t>
      </w:r>
      <w:proofErr w:type="spellStart"/>
      <w:r>
        <w:rPr>
          <w:rStyle w:val="Emphasis"/>
        </w:rPr>
        <w:t>Suatu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tinjauan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singkat</w:t>
      </w:r>
      <w:proofErr w:type="spellEnd"/>
      <w:r>
        <w:t xml:space="preserve"> (Ed. Rev.). </w:t>
      </w:r>
      <w:proofErr w:type="spellStart"/>
      <w:r>
        <w:t>RajaGrafindo</w:t>
      </w:r>
      <w:proofErr w:type="spellEnd"/>
      <w:r>
        <w:t xml:space="preserve"> </w:t>
      </w:r>
      <w:proofErr w:type="spellStart"/>
      <w:r>
        <w:t>Persada</w:t>
      </w:r>
      <w:proofErr w:type="spellEnd"/>
      <w:r>
        <w:t>.</w:t>
      </w:r>
    </w:p>
    <w:p w14:paraId="5E052AB3" w14:textId="77777777" w:rsidR="004C1086" w:rsidRDefault="004C1086" w:rsidP="004C1086">
      <w:pPr>
        <w:pStyle w:val="NormalWeb"/>
        <w:spacing w:before="0" w:beforeAutospacing="0" w:after="0" w:afterAutospacing="0" w:line="360" w:lineRule="auto"/>
        <w:ind w:left="862" w:hangingChars="360" w:hanging="864"/>
        <w:jc w:val="both"/>
      </w:pPr>
      <w:r>
        <w:t xml:space="preserve">Susanto, H., &amp; Wibowo, A. (2021). Cybercrime </w:t>
      </w:r>
      <w:proofErr w:type="spellStart"/>
      <w:r>
        <w:t>transnasional</w:t>
      </w:r>
      <w:proofErr w:type="spellEnd"/>
      <w:r>
        <w:t xml:space="preserve"> dan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di Indonesia. </w:t>
      </w:r>
      <w:proofErr w:type="spellStart"/>
      <w:r>
        <w:rPr>
          <w:rStyle w:val="Emphasis"/>
        </w:rPr>
        <w:t>Jurnal</w:t>
      </w:r>
      <w:proofErr w:type="spellEnd"/>
      <w:r>
        <w:rPr>
          <w:rStyle w:val="Emphasis"/>
        </w:rPr>
        <w:t xml:space="preserve"> Hukum dan </w:t>
      </w:r>
      <w:proofErr w:type="spellStart"/>
      <w:r>
        <w:rPr>
          <w:rStyle w:val="Emphasis"/>
        </w:rPr>
        <w:t>Peradilan</w:t>
      </w:r>
      <w:proofErr w:type="spellEnd"/>
      <w:r>
        <w:rPr>
          <w:rStyle w:val="Emphasis"/>
        </w:rPr>
        <w:t>, 10</w:t>
      </w:r>
      <w:r>
        <w:t>(3), 401–417.</w:t>
      </w:r>
    </w:p>
    <w:p w14:paraId="0743F3E4" w14:textId="77777777" w:rsidR="004C1086" w:rsidRDefault="004C1086" w:rsidP="004C1086">
      <w:pPr>
        <w:pStyle w:val="NormalWeb"/>
        <w:spacing w:before="0" w:beforeAutospacing="0" w:after="0" w:afterAutospacing="0" w:line="360" w:lineRule="auto"/>
        <w:ind w:left="862" w:hangingChars="360" w:hanging="864"/>
        <w:jc w:val="both"/>
      </w:pPr>
      <w:r>
        <w:t xml:space="preserve">Widodo. (2018).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siber</w:t>
      </w:r>
      <w:proofErr w:type="spellEnd"/>
      <w:r>
        <w:t xml:space="preserve"> (</w:t>
      </w:r>
      <w:proofErr w:type="spellStart"/>
      <w:r>
        <w:t>Cyber crime</w:t>
      </w:r>
      <w:proofErr w:type="spellEnd"/>
      <w:r>
        <w:t xml:space="preserve">) di Indonesia. </w:t>
      </w:r>
      <w:proofErr w:type="spellStart"/>
      <w:r>
        <w:rPr>
          <w:rStyle w:val="Emphasis"/>
        </w:rPr>
        <w:t>Jurnal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RechtsVinding</w:t>
      </w:r>
      <w:proofErr w:type="spellEnd"/>
      <w:r>
        <w:rPr>
          <w:rStyle w:val="Emphasis"/>
        </w:rPr>
        <w:t xml:space="preserve">: Media </w:t>
      </w:r>
      <w:proofErr w:type="spellStart"/>
      <w:r>
        <w:rPr>
          <w:rStyle w:val="Emphasis"/>
        </w:rPr>
        <w:t>Pembinaan</w:t>
      </w:r>
      <w:proofErr w:type="spellEnd"/>
      <w:r>
        <w:rPr>
          <w:rStyle w:val="Emphasis"/>
        </w:rPr>
        <w:t xml:space="preserve"> Hukum Nasional, 7</w:t>
      </w:r>
      <w:r>
        <w:t>(2), 245–260.</w:t>
      </w:r>
    </w:p>
    <w:p w14:paraId="54F023A8" w14:textId="77777777" w:rsidR="004C1086" w:rsidRDefault="004C1086" w:rsidP="004C1086">
      <w:pPr>
        <w:pStyle w:val="NormalWeb"/>
        <w:spacing w:before="0" w:beforeAutospacing="0" w:after="0" w:afterAutospacing="0" w:line="360" w:lineRule="auto"/>
        <w:ind w:left="862" w:hangingChars="360" w:hanging="864"/>
        <w:jc w:val="both"/>
      </w:pPr>
      <w:r>
        <w:t xml:space="preserve">Yuliana, S. (2023).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korban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siber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Indonesia. </w:t>
      </w:r>
      <w:proofErr w:type="spellStart"/>
      <w:r>
        <w:rPr>
          <w:rStyle w:val="Emphasis"/>
        </w:rPr>
        <w:t>Jurnal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RechtIdee</w:t>
      </w:r>
      <w:proofErr w:type="spellEnd"/>
      <w:r>
        <w:rPr>
          <w:rStyle w:val="Emphasis"/>
        </w:rPr>
        <w:t>, 18</w:t>
      </w:r>
      <w:r>
        <w:t>(1), 55–69.</w:t>
      </w:r>
    </w:p>
    <w:p w14:paraId="6052ABA7" w14:textId="4DE94AC2" w:rsidR="009528B9" w:rsidRPr="000446C7" w:rsidRDefault="009528B9" w:rsidP="00E71662">
      <w:pPr>
        <w:widowControl w:val="0"/>
        <w:autoSpaceDE w:val="0"/>
        <w:autoSpaceDN w:val="0"/>
        <w:adjustRightInd w:val="0"/>
        <w:spacing w:line="240" w:lineRule="auto"/>
        <w:ind w:left="862" w:hangingChars="360" w:hanging="864"/>
        <w:jc w:val="both"/>
        <w:rPr>
          <w:rFonts w:eastAsia="Lustria"/>
          <w:color w:val="000000"/>
          <w:sz w:val="24"/>
          <w:szCs w:val="24"/>
        </w:rPr>
      </w:pPr>
    </w:p>
    <w:sectPr w:rsidR="009528B9" w:rsidRPr="000446C7" w:rsidSect="004C1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18" w:right="1418" w:bottom="1701" w:left="1418" w:header="856" w:footer="1134" w:gutter="0"/>
      <w:pgNumType w:start="8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DC768" w14:textId="77777777" w:rsidR="00FB7D06" w:rsidRDefault="00FB7D06">
      <w:pPr>
        <w:spacing w:line="240" w:lineRule="auto"/>
        <w:ind w:left="0" w:hanging="2"/>
      </w:pPr>
      <w:r>
        <w:separator/>
      </w:r>
    </w:p>
  </w:endnote>
  <w:endnote w:type="continuationSeparator" w:id="0">
    <w:p w14:paraId="18DD8823" w14:textId="77777777" w:rsidR="00FB7D06" w:rsidRDefault="00FB7D0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NewRomanPSMT">
    <w:altName w:val="Yu Gothic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stria">
    <w:altName w:val="Calibri"/>
    <w:panose1 w:val="020B0604020202020204"/>
    <w:charset w:val="00"/>
    <w:family w:val="auto"/>
    <w:pitch w:val="variable"/>
    <w:sig w:usb0="8000006F" w:usb1="5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E02E" w14:textId="77777777" w:rsidR="00C54DF2" w:rsidRDefault="00C54DF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217496897" w:displacedByCustomXml="next"/>
  <w:sdt>
    <w:sdtPr>
      <w:id w:val="33781950"/>
      <w:docPartObj>
        <w:docPartGallery w:val="Page Numbers (Bottom of Page)"/>
        <w:docPartUnique/>
      </w:docPartObj>
    </w:sdtPr>
    <w:sdtEndPr>
      <w:rPr>
        <w:noProof/>
      </w:rPr>
    </w:sdtEndPr>
    <w:sdtContent>
      <w:bookmarkEnd w:id="0" w:displacedByCustomXml="prev"/>
      <w:p w14:paraId="34EB9940" w14:textId="403DEC1D" w:rsidR="009528B9" w:rsidRPr="000446C7" w:rsidRDefault="004C1086" w:rsidP="000446C7">
        <w:pPr>
          <w:pStyle w:val="Footer"/>
          <w:ind w:left="0" w:hanging="2"/>
          <w:jc w:val="right"/>
          <w:rPr>
            <w:i/>
          </w:rPr>
        </w:pPr>
        <w:proofErr w:type="spellStart"/>
        <w:r w:rsidRPr="006E4F55">
          <w:t>Analisis</w:t>
        </w:r>
        <w:proofErr w:type="spellEnd"/>
        <w:r w:rsidRPr="006E4F55">
          <w:t xml:space="preserve"> </w:t>
        </w:r>
        <w:proofErr w:type="spellStart"/>
        <w:r w:rsidRPr="006E4F55">
          <w:t>Yuridis</w:t>
        </w:r>
        <w:proofErr w:type="spellEnd"/>
        <w:r w:rsidRPr="006E4F55">
          <w:t xml:space="preserve"> </w:t>
        </w:r>
        <w:proofErr w:type="spellStart"/>
        <w:r w:rsidRPr="006E4F55">
          <w:t>Tindak</w:t>
        </w:r>
        <w:proofErr w:type="spellEnd"/>
        <w:r w:rsidRPr="006E4F55">
          <w:t xml:space="preserve"> </w:t>
        </w:r>
        <w:proofErr w:type="spellStart"/>
        <w:r w:rsidRPr="006E4F55">
          <w:t>Pidana</w:t>
        </w:r>
        <w:proofErr w:type="spellEnd"/>
        <w:r w:rsidR="00B2309B">
          <w:rPr>
            <w:i/>
            <w:color w:val="000000"/>
            <w:lang w:val="en-US"/>
          </w:rPr>
          <w:t xml:space="preserve"> </w:t>
        </w:r>
        <w:r w:rsidR="000A6C5E">
          <w:rPr>
            <w:i/>
            <w:color w:val="000000"/>
            <w:lang w:val="en-US"/>
          </w:rPr>
          <w:t>…</w:t>
        </w:r>
        <w:r w:rsidR="000A6C5E">
          <w:rPr>
            <w:color w:val="000000"/>
          </w:rPr>
          <w:t xml:space="preserve">  -</w:t>
        </w:r>
        <w:r w:rsidR="000A6C5E">
          <w:fldChar w:fldCharType="begin"/>
        </w:r>
        <w:r w:rsidR="000A6C5E">
          <w:instrText xml:space="preserve"> PAGE   \* MERGEFORMAT </w:instrText>
        </w:r>
        <w:r w:rsidR="000A6C5E">
          <w:fldChar w:fldCharType="separate"/>
        </w:r>
        <w:r w:rsidR="000A6C5E">
          <w:t>1</w:t>
        </w:r>
        <w:r w:rsidR="000A6C5E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2268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F7418" w14:textId="1B5FA4BC" w:rsidR="009528B9" w:rsidRPr="000A6C5E" w:rsidRDefault="00202014" w:rsidP="000A6C5E">
        <w:pPr>
          <w:pStyle w:val="Footer"/>
          <w:ind w:left="0" w:hanging="2"/>
          <w:jc w:val="right"/>
        </w:pPr>
        <w:proofErr w:type="spellStart"/>
        <w:r w:rsidRPr="00202014">
          <w:t>Analisis</w:t>
        </w:r>
        <w:proofErr w:type="spellEnd"/>
        <w:r w:rsidRPr="00202014">
          <w:t xml:space="preserve"> </w:t>
        </w:r>
        <w:proofErr w:type="spellStart"/>
        <w:r w:rsidRPr="00202014">
          <w:t>Faktor</w:t>
        </w:r>
        <w:proofErr w:type="spellEnd"/>
        <w:r w:rsidRPr="00202014">
          <w:t xml:space="preserve"> </w:t>
        </w:r>
        <w:proofErr w:type="spellStart"/>
        <w:r w:rsidRPr="00202014">
          <w:t>Penyebab</w:t>
        </w:r>
        <w:proofErr w:type="spellEnd"/>
        <w:r w:rsidRPr="00202014">
          <w:t xml:space="preserve"> dan </w:t>
        </w:r>
        <w:proofErr w:type="spellStart"/>
        <w:r w:rsidRPr="00202014">
          <w:t>Penanggulangan</w:t>
        </w:r>
        <w:proofErr w:type="spellEnd"/>
        <w:r w:rsidRPr="00BD5D70">
          <w:rPr>
            <w:b/>
            <w:bCs/>
            <w:sz w:val="32"/>
            <w:szCs w:val="32"/>
          </w:rPr>
          <w:t xml:space="preserve"> </w:t>
        </w:r>
        <w:r w:rsidR="00D86513">
          <w:rPr>
            <w:i/>
            <w:color w:val="000000"/>
            <w:lang w:val="en-US"/>
          </w:rPr>
          <w:t>…</w:t>
        </w:r>
        <w:r w:rsidR="00D86513">
          <w:rPr>
            <w:color w:val="000000"/>
          </w:rPr>
          <w:t xml:space="preserve">  -</w:t>
        </w:r>
        <w:r w:rsidR="00D86513">
          <w:fldChar w:fldCharType="begin"/>
        </w:r>
        <w:r w:rsidR="00D86513">
          <w:instrText xml:space="preserve"> PAGE   \* MERGEFORMAT </w:instrText>
        </w:r>
        <w:r w:rsidR="00D86513">
          <w:fldChar w:fldCharType="separate"/>
        </w:r>
        <w:r w:rsidR="00D86513">
          <w:rPr>
            <w:noProof/>
          </w:rPr>
          <w:t>2</w:t>
        </w:r>
        <w:r w:rsidR="00D8651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20788" w14:textId="77777777" w:rsidR="00FB7D06" w:rsidRDefault="00FB7D06">
      <w:pPr>
        <w:spacing w:line="240" w:lineRule="auto"/>
        <w:ind w:left="0" w:hanging="2"/>
      </w:pPr>
      <w:r>
        <w:separator/>
      </w:r>
    </w:p>
  </w:footnote>
  <w:footnote w:type="continuationSeparator" w:id="0">
    <w:p w14:paraId="3E9FE0AB" w14:textId="77777777" w:rsidR="00FB7D06" w:rsidRDefault="00FB7D0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87A49" w14:textId="77777777" w:rsidR="009528B9" w:rsidRDefault="00DA13E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proofErr w:type="spellStart"/>
    <w:r>
      <w:rPr>
        <w:color w:val="000000"/>
      </w:rPr>
      <w:t>Penulis</w:t>
    </w:r>
    <w:proofErr w:type="spellEnd"/>
    <w:r>
      <w:rPr>
        <w:color w:val="000000"/>
      </w:rPr>
      <w:t xml:space="preserve"> 1, </w:t>
    </w:r>
    <w:proofErr w:type="spellStart"/>
    <w:r>
      <w:rPr>
        <w:color w:val="000000"/>
      </w:rPr>
      <w:t>Penulis</w:t>
    </w:r>
    <w:proofErr w:type="spellEnd"/>
    <w:r>
      <w:rPr>
        <w:color w:val="000000"/>
      </w:rPr>
      <w:t xml:space="preserve"> 2, / </w:t>
    </w:r>
    <w:proofErr w:type="spellStart"/>
    <w:r>
      <w:rPr>
        <w:color w:val="000000"/>
      </w:rPr>
      <w:t>Jurnal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Ilmiah</w:t>
    </w:r>
    <w:proofErr w:type="spellEnd"/>
    <w:r>
      <w:rPr>
        <w:color w:val="000000"/>
      </w:rPr>
      <w:t xml:space="preserve"> Global Education 1 (1) (2020) 1-N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B2892" w14:textId="6BA61116" w:rsidR="009528B9" w:rsidRDefault="004C108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>Ansari</w:t>
    </w:r>
    <w:r w:rsidR="00DA13E1">
      <w:rPr>
        <w:color w:val="000000"/>
      </w:rPr>
      <w:t xml:space="preserve">/ </w:t>
    </w:r>
    <w:r w:rsidR="006F32C0">
      <w:rPr>
        <w:color w:val="000000"/>
      </w:rPr>
      <w:t>JU</w:t>
    </w:r>
    <w:r w:rsidR="00D05674">
      <w:rPr>
        <w:color w:val="000000"/>
      </w:rPr>
      <w:t>KAHU</w:t>
    </w:r>
    <w:r w:rsidR="006F32C0">
      <w:rPr>
        <w:color w:val="000000"/>
      </w:rPr>
      <w:t xml:space="preserve">: </w:t>
    </w:r>
    <w:proofErr w:type="spellStart"/>
    <w:r w:rsidR="006F32C0">
      <w:rPr>
        <w:color w:val="000000"/>
      </w:rPr>
      <w:t>Jurnal</w:t>
    </w:r>
    <w:proofErr w:type="spellEnd"/>
    <w:r w:rsidR="006F32C0">
      <w:rPr>
        <w:color w:val="000000"/>
      </w:rPr>
      <w:t xml:space="preserve"> Kajian Hukum</w:t>
    </w:r>
    <w:r w:rsidR="00DA13E1">
      <w:rPr>
        <w:color w:val="000000"/>
      </w:rPr>
      <w:t xml:space="preserve"> </w:t>
    </w:r>
    <w:r w:rsidR="00202014">
      <w:rPr>
        <w:color w:val="000000"/>
      </w:rPr>
      <w:t>2</w:t>
    </w:r>
    <w:r w:rsidR="00DA13E1">
      <w:rPr>
        <w:color w:val="000000"/>
      </w:rPr>
      <w:t xml:space="preserve"> (</w:t>
    </w:r>
    <w:r w:rsidR="00202014">
      <w:rPr>
        <w:color w:val="000000"/>
      </w:rPr>
      <w:t>1</w:t>
    </w:r>
    <w:r w:rsidR="00B2309B">
      <w:rPr>
        <w:color w:val="000000"/>
      </w:rPr>
      <w:t xml:space="preserve">) </w:t>
    </w:r>
    <w:r w:rsidR="00241663">
      <w:rPr>
        <w:color w:val="000000"/>
      </w:rPr>
      <w:t xml:space="preserve"> </w:t>
    </w:r>
    <w:proofErr w:type="spellStart"/>
    <w:r w:rsidR="00241663">
      <w:rPr>
        <w:color w:val="000000"/>
      </w:rPr>
      <w:t>Juni</w:t>
    </w:r>
    <w:proofErr w:type="spellEnd"/>
    <w:r w:rsidR="00241663">
      <w:rPr>
        <w:color w:val="000000"/>
      </w:rPr>
      <w:t xml:space="preserve"> </w:t>
    </w:r>
    <w:r w:rsidR="00DA13E1">
      <w:rPr>
        <w:color w:val="000000"/>
      </w:rPr>
      <w:t>202</w:t>
    </w:r>
    <w:r w:rsidR="00202014">
      <w:rPr>
        <w:color w:val="000000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F3DB" w14:textId="77777777" w:rsidR="00C54DF2" w:rsidRDefault="00C54DF2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8B9"/>
    <w:rsid w:val="00012FE5"/>
    <w:rsid w:val="00031215"/>
    <w:rsid w:val="00041EA6"/>
    <w:rsid w:val="000446C7"/>
    <w:rsid w:val="00054B48"/>
    <w:rsid w:val="0007257A"/>
    <w:rsid w:val="00083585"/>
    <w:rsid w:val="000A3A82"/>
    <w:rsid w:val="000A6C5E"/>
    <w:rsid w:val="000B1FE0"/>
    <w:rsid w:val="000B6837"/>
    <w:rsid w:val="000D0C9E"/>
    <w:rsid w:val="000E4B22"/>
    <w:rsid w:val="00113320"/>
    <w:rsid w:val="001134AB"/>
    <w:rsid w:val="00136E72"/>
    <w:rsid w:val="00140357"/>
    <w:rsid w:val="00183E4C"/>
    <w:rsid w:val="001858BE"/>
    <w:rsid w:val="00197515"/>
    <w:rsid w:val="001C329C"/>
    <w:rsid w:val="00200CA2"/>
    <w:rsid w:val="00202014"/>
    <w:rsid w:val="00206B10"/>
    <w:rsid w:val="00210FDB"/>
    <w:rsid w:val="0022388E"/>
    <w:rsid w:val="00241663"/>
    <w:rsid w:val="002628A9"/>
    <w:rsid w:val="00277E7E"/>
    <w:rsid w:val="00290274"/>
    <w:rsid w:val="002B20A0"/>
    <w:rsid w:val="002C5329"/>
    <w:rsid w:val="002D3953"/>
    <w:rsid w:val="002E3F3E"/>
    <w:rsid w:val="00302267"/>
    <w:rsid w:val="00312527"/>
    <w:rsid w:val="003169E0"/>
    <w:rsid w:val="00316FA0"/>
    <w:rsid w:val="0036154F"/>
    <w:rsid w:val="003B1C03"/>
    <w:rsid w:val="003D6A4C"/>
    <w:rsid w:val="003D7B81"/>
    <w:rsid w:val="003E076A"/>
    <w:rsid w:val="003F29E3"/>
    <w:rsid w:val="004174B2"/>
    <w:rsid w:val="0044531B"/>
    <w:rsid w:val="00457277"/>
    <w:rsid w:val="00462809"/>
    <w:rsid w:val="004809BD"/>
    <w:rsid w:val="00482EA3"/>
    <w:rsid w:val="0049516A"/>
    <w:rsid w:val="004C0FFF"/>
    <w:rsid w:val="004C1086"/>
    <w:rsid w:val="004D0F68"/>
    <w:rsid w:val="004D2A23"/>
    <w:rsid w:val="004F12F3"/>
    <w:rsid w:val="005028FF"/>
    <w:rsid w:val="005119DC"/>
    <w:rsid w:val="005125AF"/>
    <w:rsid w:val="00520AD3"/>
    <w:rsid w:val="005519D6"/>
    <w:rsid w:val="00571A55"/>
    <w:rsid w:val="00587833"/>
    <w:rsid w:val="005929EC"/>
    <w:rsid w:val="005B7991"/>
    <w:rsid w:val="005B7EA6"/>
    <w:rsid w:val="005C1179"/>
    <w:rsid w:val="005D0B82"/>
    <w:rsid w:val="005D6E6C"/>
    <w:rsid w:val="006030AE"/>
    <w:rsid w:val="0062690E"/>
    <w:rsid w:val="00627ED2"/>
    <w:rsid w:val="006516FD"/>
    <w:rsid w:val="00661CB8"/>
    <w:rsid w:val="0066211B"/>
    <w:rsid w:val="00667F28"/>
    <w:rsid w:val="006A6DA6"/>
    <w:rsid w:val="006E6578"/>
    <w:rsid w:val="006F32C0"/>
    <w:rsid w:val="006F7783"/>
    <w:rsid w:val="007069FB"/>
    <w:rsid w:val="0071565C"/>
    <w:rsid w:val="0073705F"/>
    <w:rsid w:val="00763227"/>
    <w:rsid w:val="007819BD"/>
    <w:rsid w:val="007A6EAE"/>
    <w:rsid w:val="007B6CEE"/>
    <w:rsid w:val="007D3644"/>
    <w:rsid w:val="007F6A1C"/>
    <w:rsid w:val="00804B17"/>
    <w:rsid w:val="00836709"/>
    <w:rsid w:val="00853D97"/>
    <w:rsid w:val="00865674"/>
    <w:rsid w:val="008B6B04"/>
    <w:rsid w:val="008C3237"/>
    <w:rsid w:val="008F6CE4"/>
    <w:rsid w:val="0092348B"/>
    <w:rsid w:val="009278A0"/>
    <w:rsid w:val="009528B9"/>
    <w:rsid w:val="0095613B"/>
    <w:rsid w:val="009601F3"/>
    <w:rsid w:val="00991FA2"/>
    <w:rsid w:val="009C17D5"/>
    <w:rsid w:val="00A553B1"/>
    <w:rsid w:val="00A76830"/>
    <w:rsid w:val="00A82539"/>
    <w:rsid w:val="00AB1403"/>
    <w:rsid w:val="00AC6242"/>
    <w:rsid w:val="00AC70A7"/>
    <w:rsid w:val="00AD2F2C"/>
    <w:rsid w:val="00AE5964"/>
    <w:rsid w:val="00AE78C1"/>
    <w:rsid w:val="00AF7A32"/>
    <w:rsid w:val="00B079E3"/>
    <w:rsid w:val="00B2309B"/>
    <w:rsid w:val="00B45025"/>
    <w:rsid w:val="00B5527B"/>
    <w:rsid w:val="00B55F93"/>
    <w:rsid w:val="00B90575"/>
    <w:rsid w:val="00B92C65"/>
    <w:rsid w:val="00BA6EE4"/>
    <w:rsid w:val="00BB65DC"/>
    <w:rsid w:val="00BE0DF0"/>
    <w:rsid w:val="00C076B1"/>
    <w:rsid w:val="00C12BEF"/>
    <w:rsid w:val="00C203ED"/>
    <w:rsid w:val="00C37BAE"/>
    <w:rsid w:val="00C54DF2"/>
    <w:rsid w:val="00C54F74"/>
    <w:rsid w:val="00C64906"/>
    <w:rsid w:val="00C65CA3"/>
    <w:rsid w:val="00C964C4"/>
    <w:rsid w:val="00CD7AFB"/>
    <w:rsid w:val="00CD7B61"/>
    <w:rsid w:val="00CF4CAB"/>
    <w:rsid w:val="00D05674"/>
    <w:rsid w:val="00D05E2C"/>
    <w:rsid w:val="00D0702F"/>
    <w:rsid w:val="00D27984"/>
    <w:rsid w:val="00D30F20"/>
    <w:rsid w:val="00D31FC8"/>
    <w:rsid w:val="00D44399"/>
    <w:rsid w:val="00D86513"/>
    <w:rsid w:val="00D96622"/>
    <w:rsid w:val="00DA13E1"/>
    <w:rsid w:val="00DB652C"/>
    <w:rsid w:val="00DC23A1"/>
    <w:rsid w:val="00DC39C9"/>
    <w:rsid w:val="00DF752B"/>
    <w:rsid w:val="00E06606"/>
    <w:rsid w:val="00E20B79"/>
    <w:rsid w:val="00E2416B"/>
    <w:rsid w:val="00E71662"/>
    <w:rsid w:val="00E8199B"/>
    <w:rsid w:val="00ED54E1"/>
    <w:rsid w:val="00EF33C1"/>
    <w:rsid w:val="00EF7A0C"/>
    <w:rsid w:val="00F05847"/>
    <w:rsid w:val="00F12CF8"/>
    <w:rsid w:val="00F16E9B"/>
    <w:rsid w:val="00F27249"/>
    <w:rsid w:val="00F41445"/>
    <w:rsid w:val="00F45C94"/>
    <w:rsid w:val="00F67879"/>
    <w:rsid w:val="00F8397D"/>
    <w:rsid w:val="00F959D2"/>
    <w:rsid w:val="00FB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A5A421"/>
  <w15:docId w15:val="{D38310C6-4A58-487F-8A3D-0E021CDF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line="480" w:lineRule="auto"/>
      <w:jc w:val="center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pPr>
      <w:keepNext/>
      <w:ind w:right="-4041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b/>
      <w:bCs/>
      <w:sz w:val="28"/>
      <w:szCs w:val="24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  <w:lang w:val="en-US" w:eastAsia="en-US"/>
    </w:rPr>
  </w:style>
  <w:style w:type="paragraph" w:styleId="Header">
    <w:name w:val="header"/>
    <w:basedOn w:val="Normal"/>
  </w:style>
  <w:style w:type="paragraph" w:styleId="Footer">
    <w:name w:val="footer"/>
    <w:basedOn w:val="Normal"/>
    <w:uiPriority w:val="99"/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pPr>
      <w:spacing w:line="360" w:lineRule="auto"/>
      <w:ind w:left="456" w:firstLine="984"/>
      <w:jc w:val="both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next w:val="Normal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  <w:lang w:val="en-US" w:eastAsia="en-US"/>
    </w:rPr>
  </w:style>
  <w:style w:type="paragraph" w:styleId="FootnoteText">
    <w:name w:val="footnote text"/>
    <w:basedOn w:val="Normal"/>
  </w:style>
  <w:style w:type="paragraph" w:customStyle="1" w:styleId="Judulbab">
    <w:name w:val="Judul bab"/>
    <w:basedOn w:val="Normal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pPr>
      <w:ind w:firstLine="720"/>
      <w:jc w:val="both"/>
    </w:pPr>
  </w:style>
  <w:style w:type="paragraph" w:customStyle="1" w:styleId="tole">
    <w:name w:val="tole"/>
    <w:basedOn w:val="Normal"/>
    <w:pPr>
      <w:jc w:val="center"/>
    </w:pPr>
    <w:rPr>
      <w:b/>
      <w:bCs/>
      <w:sz w:val="28"/>
      <w:szCs w:val="28"/>
    </w:rPr>
  </w:style>
  <w:style w:type="paragraph" w:customStyle="1" w:styleId="tolesBoldLinespacingsingle">
    <w:name w:val="toles + Bold;Line spacing:  single"/>
    <w:basedOn w:val="Normal"/>
    <w:pPr>
      <w:jc w:val="center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pPr>
      <w:jc w:val="both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pPr>
      <w:spacing w:line="240" w:lineRule="auto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pPr>
      <w:tabs>
        <w:tab w:val="num" w:pos="720"/>
      </w:tabs>
      <w:spacing w:line="240" w:lineRule="auto"/>
      <w:ind w:left="720" w:hanging="720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utoBiography">
    <w:name w:val="AutoBiography"/>
    <w:basedOn w:val="Normal"/>
    <w:pPr>
      <w:jc w:val="both"/>
    </w:pPr>
    <w:rPr>
      <w:sz w:val="18"/>
      <w:szCs w:val="18"/>
      <w:lang w:bidi="th-TH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customStyle="1" w:styleId="SectionTitle">
    <w:name w:val="Section Title"/>
    <w:basedOn w:val="Normal"/>
    <w:pPr>
      <w:jc w:val="both"/>
    </w:pPr>
    <w:rPr>
      <w:lang w:bidi="th-TH"/>
    </w:rPr>
  </w:style>
  <w:style w:type="paragraph" w:customStyle="1" w:styleId="Style10ptJustified">
    <w:name w:val="Style 10 pt Justified"/>
    <w:basedOn w:val="Normal"/>
    <w:pPr>
      <w:ind w:firstLine="720"/>
      <w:jc w:val="both"/>
    </w:pPr>
    <w:rPr>
      <w:rFonts w:ascii="Arial" w:eastAsia="TimesNewRomanPSMT" w:hAnsi="Arial" w:cs="Arial"/>
      <w:iCs/>
      <w:lang w:val="en-US"/>
    </w:rPr>
  </w:style>
  <w:style w:type="character" w:customStyle="1" w:styleId="Style10ptJustifiedChar">
    <w:name w:val="Style 10 pt Justified Char"/>
    <w:rPr>
      <w:rFonts w:ascii="Arial" w:eastAsia="TimesNewRomanPSMT" w:hAnsi="Arial" w:cs="Arial"/>
      <w:iCs/>
      <w:w w:val="100"/>
      <w:position w:val="-1"/>
      <w:effect w:val="none"/>
      <w:vertAlign w:val="baseline"/>
      <w:cs w:val="0"/>
      <w:em w:val="none"/>
      <w:lang w:val="en-US" w:eastAsia="en-US" w:bidi="ar-SA"/>
    </w:rPr>
  </w:style>
  <w:style w:type="paragraph" w:customStyle="1" w:styleId="paperbody">
    <w:name w:val="paper body"/>
    <w:basedOn w:val="Normal"/>
    <w:pPr>
      <w:jc w:val="both"/>
    </w:pPr>
    <w:rPr>
      <w:sz w:val="24"/>
      <w:szCs w:val="24"/>
    </w:rPr>
  </w:style>
  <w:style w:type="paragraph" w:styleId="PlainText">
    <w:name w:val="Plain Text"/>
    <w:basedOn w:val="Normal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rPr>
      <w:rFonts w:ascii="Courier New" w:eastAsia="BatangChe" w:hAnsi="Courier New"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  <w:sz w:val="32"/>
      <w:szCs w:val="32"/>
    </w:rPr>
  </w:style>
  <w:style w:type="paragraph" w:customStyle="1" w:styleId="Body">
    <w:name w:val="Body"/>
    <w:basedOn w:val="Normal"/>
    <w:pPr>
      <w:widowControl w:val="0"/>
      <w:autoSpaceDE w:val="0"/>
      <w:autoSpaceDN w:val="0"/>
      <w:adjustRightInd w:val="0"/>
      <w:ind w:firstLine="340"/>
      <w:jc w:val="both"/>
      <w:textAlignment w:val="baseline"/>
    </w:pPr>
  </w:style>
  <w:style w:type="paragraph" w:customStyle="1" w:styleId="Reference">
    <w:name w:val="Reference"/>
    <w:basedOn w:val="Normal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</w:style>
  <w:style w:type="paragraph" w:customStyle="1" w:styleId="Demenko">
    <w:name w:val="Demenko"/>
    <w:basedOn w:val="Normal"/>
    <w:pPr>
      <w:widowControl w:val="0"/>
      <w:spacing w:after="113" w:line="360" w:lineRule="auto"/>
      <w:jc w:val="both"/>
    </w:pPr>
    <w:rPr>
      <w:sz w:val="22"/>
      <w:szCs w:val="22"/>
    </w:rPr>
  </w:style>
  <w:style w:type="paragraph" w:customStyle="1" w:styleId="Text">
    <w:name w:val="Text"/>
    <w:basedOn w:val="Normal"/>
    <w:pPr>
      <w:widowControl w:val="0"/>
      <w:autoSpaceDE w:val="0"/>
      <w:autoSpaceDN w:val="0"/>
      <w:spacing w:line="252" w:lineRule="auto"/>
      <w:ind w:firstLine="202"/>
      <w:jc w:val="both"/>
    </w:pPr>
  </w:style>
  <w:style w:type="paragraph" w:customStyle="1" w:styleId="Equation">
    <w:name w:val="Equation"/>
    <w:basedOn w:val="Normal"/>
    <w:next w:val="Normal"/>
    <w:pPr>
      <w:widowControl w:val="0"/>
      <w:autoSpaceDE w:val="0"/>
      <w:autoSpaceDN w:val="0"/>
      <w:spacing w:line="252" w:lineRule="auto"/>
      <w:jc w:val="both"/>
    </w:pPr>
  </w:style>
  <w:style w:type="paragraph" w:customStyle="1" w:styleId="TableTitle">
    <w:name w:val="Table Title"/>
    <w:basedOn w:val="Normal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pPr>
      <w:jc w:val="both"/>
    </w:pPr>
    <w:rPr>
      <w:b/>
      <w:bCs/>
      <w:color w:val="000000"/>
      <w:sz w:val="24"/>
      <w:szCs w:val="24"/>
    </w:rPr>
  </w:style>
  <w:style w:type="paragraph" w:customStyle="1" w:styleId="text0">
    <w:name w:val="text"/>
    <w:basedOn w:val="Normal"/>
    <w:pPr>
      <w:ind w:firstLine="227"/>
      <w:jc w:val="both"/>
    </w:pPr>
  </w:style>
  <w:style w:type="paragraph" w:customStyle="1" w:styleId="tables">
    <w:name w:val="tables"/>
    <w:basedOn w:val="Normal"/>
    <w:pPr>
      <w:jc w:val="both"/>
    </w:pPr>
    <w:rPr>
      <w:sz w:val="18"/>
      <w:szCs w:val="18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customStyle="1" w:styleId="Abstract">
    <w:name w:val="Abstract"/>
    <w:basedOn w:val="Normal"/>
    <w:pPr>
      <w:jc w:val="both"/>
    </w:pPr>
    <w:rPr>
      <w:rFonts w:ascii="Calisto MT" w:eastAsia="SimSun" w:hAnsi="Calisto MT"/>
      <w:sz w:val="18"/>
    </w:rPr>
  </w:style>
  <w:style w:type="paragraph" w:customStyle="1" w:styleId="Affiliation">
    <w:name w:val="Affiliation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equation0">
    <w:name w:val="equation"/>
    <w:basedOn w:val="Normal"/>
    <w:pPr>
      <w:spacing w:before="240" w:after="240" w:line="216" w:lineRule="auto"/>
      <w:jc w:val="center"/>
    </w:pPr>
  </w:style>
  <w:style w:type="paragraph" w:customStyle="1" w:styleId="figurecaption">
    <w:name w:val="figure caption"/>
    <w:pPr>
      <w:suppressAutoHyphens/>
      <w:spacing w:before="80"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16"/>
      <w:lang w:eastAsia="en-US"/>
    </w:rPr>
  </w:style>
  <w:style w:type="paragraph" w:customStyle="1" w:styleId="papertitle">
    <w:name w:val="paper title"/>
    <w:pPr>
      <w:suppressAutoHyphens/>
      <w:spacing w:after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48"/>
      <w:lang w:eastAsia="en-US"/>
    </w:rPr>
  </w:style>
  <w:style w:type="paragraph" w:customStyle="1" w:styleId="tablecolsubhead">
    <w:name w:val="table col subhead"/>
    <w:basedOn w:val="Normal"/>
    <w:pPr>
      <w:jc w:val="center"/>
    </w:pPr>
    <w:rPr>
      <w:b/>
      <w:i/>
      <w:sz w:val="15"/>
    </w:rPr>
  </w:style>
  <w:style w:type="paragraph" w:customStyle="1" w:styleId="tablecopy">
    <w:name w:val="table copy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16"/>
      <w:lang w:eastAsia="en-US"/>
    </w:rPr>
  </w:style>
  <w:style w:type="paragraph" w:customStyle="1" w:styleId="tablehead">
    <w:name w:val="table head"/>
    <w:pPr>
      <w:tabs>
        <w:tab w:val="num" w:pos="720"/>
      </w:tabs>
      <w:suppressAutoHyphens/>
      <w:spacing w:before="240" w:after="120" w:line="216" w:lineRule="auto"/>
      <w:ind w:leftChars="-1" w:left="720" w:hangingChars="1" w:hanging="720"/>
      <w:jc w:val="center"/>
      <w:textDirection w:val="btLr"/>
      <w:textAlignment w:val="top"/>
      <w:outlineLvl w:val="0"/>
    </w:pPr>
    <w:rPr>
      <w:smallCaps/>
      <w:position w:val="-1"/>
      <w:sz w:val="16"/>
      <w:lang w:eastAsia="en-US"/>
    </w:rPr>
  </w:style>
  <w:style w:type="character" w:customStyle="1" w:styleId="shorttext">
    <w:name w:val="short_tex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longtext">
    <w:name w:val="long_tex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customStyle="1" w:styleId="ListParagraphBodyoftextListParagraph1ColorfulList-Accent11Bodyoftext2Bodyoftext1ListParagraph11Bodyoftext1Bodyoftext3soaljawabMediumGrid1-Accent21BodyoftextCxSp">
    <w:name w:val="List Paragraph;Body of text;List Paragraph1;Colorful List - Accent 11;Body of text+2;Body of text1;List Paragraph11;Body of text+1;Body of text+3;soal jawab;Medium Grid 1 - Accent 21;Body of textCxSp"/>
    <w:basedOn w:val="Normal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hps">
    <w:name w:val="hps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IJMMSParagraphChar">
    <w:name w:val="IJMMS Paragraph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customStyle="1" w:styleId="IJMMSParagraph">
    <w:name w:val="IJMMS Paragraph"/>
    <w:basedOn w:val="Normal"/>
    <w:pPr>
      <w:adjustRightInd w:val="0"/>
      <w:spacing w:line="340" w:lineRule="atLeast"/>
      <w:ind w:firstLine="215"/>
      <w:jc w:val="both"/>
    </w:pPr>
    <w:rPr>
      <w:sz w:val="24"/>
      <w:szCs w:val="24"/>
      <w:lang w:val="en-US"/>
    </w:rPr>
  </w:style>
  <w:style w:type="character" w:customStyle="1" w:styleId="ListParagraphCharBodyoftextCharListParagraph1CharColorfulList-Accent11CharBodyoftext2CharBodyoftext1CharListParagraph11CharBodyoftext1CharBodyoftext3CharsoaljawabCharMediumGrid1-Accent21Char">
    <w:name w:val="List Paragraph Char;Body of text Char;List Paragraph1 Char;Colorful List - Accent 11 Char;Body of text+2 Char;Body of text1 Char;List Paragraph11 Char;Body of text+1 Char;Body of text+3 Char;soal jawab Char;Medium Grid 1 - Accent 21 Char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FooterChar">
    <w:name w:val="Footer Char"/>
    <w:basedOn w:val="DefaultParagraphFont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Bibliography">
    <w:name w:val="Bibliography"/>
    <w:basedOn w:val="Normal"/>
    <w:next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JPPMAbstrakKeywords">
    <w:name w:val="JPPM_AbstrakKeywords"/>
    <w:basedOn w:val="Normal"/>
    <w:pPr>
      <w:spacing w:before="120" w:after="120"/>
      <w:jc w:val="both"/>
    </w:pPr>
    <w:rPr>
      <w:rFonts w:ascii="Constantia" w:hAnsi="Constantia"/>
      <w:sz w:val="22"/>
      <w:szCs w:val="22"/>
      <w:lang w:val="id-ID"/>
    </w:rPr>
  </w:style>
  <w:style w:type="paragraph" w:customStyle="1" w:styleId="JRPMHeading1">
    <w:name w:val="JRPM_Heading 1"/>
    <w:basedOn w:val="Normal"/>
    <w:pPr>
      <w:spacing w:before="120" w:after="120"/>
    </w:pPr>
    <w:rPr>
      <w:b/>
      <w:sz w:val="22"/>
      <w:szCs w:val="22"/>
    </w:rPr>
  </w:style>
  <w:style w:type="paragraph" w:customStyle="1" w:styleId="JRPMBody">
    <w:name w:val="JRPM_Body"/>
    <w:basedOn w:val="Normal"/>
    <w:pPr>
      <w:ind w:firstLine="567"/>
      <w:jc w:val="both"/>
    </w:pPr>
    <w:rPr>
      <w:sz w:val="22"/>
      <w:szCs w:val="24"/>
      <w:lang w:val="id-ID"/>
    </w:rPr>
  </w:style>
  <w:style w:type="paragraph" w:customStyle="1" w:styleId="JPMSHeading1">
    <w:name w:val="JPMS_Heading 1"/>
    <w:basedOn w:val="Normal"/>
    <w:pPr>
      <w:spacing w:before="120" w:after="120"/>
    </w:pPr>
    <w:rPr>
      <w:b/>
      <w:sz w:val="22"/>
      <w:szCs w:val="22"/>
    </w:rPr>
  </w:style>
  <w:style w:type="character" w:customStyle="1" w:styleId="tlid-translation">
    <w:name w:val="tlid-translation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le1">
    <w:name w:val="Title1"/>
    <w:basedOn w:val="Normal"/>
    <w:rPr>
      <w:rFonts w:ascii="Calisto MT" w:hAnsi="Calisto MT"/>
      <w:b/>
      <w:sz w:val="24"/>
      <w:szCs w:val="32"/>
      <w:lang w:val="en-GB"/>
    </w:rPr>
  </w:style>
  <w:style w:type="paragraph" w:customStyle="1" w:styleId="AUTHOR">
    <w:name w:val="AUTHOR"/>
    <w:basedOn w:val="Normal"/>
    <w:rPr>
      <w:rFonts w:ascii="Calisto MT" w:hAnsi="Calisto MT"/>
      <w:b/>
      <w:sz w:val="22"/>
    </w:rPr>
  </w:style>
  <w:style w:type="paragraph" w:customStyle="1" w:styleId="Institution">
    <w:name w:val="Institution"/>
    <w:basedOn w:val="Normal"/>
    <w:rPr>
      <w:rFonts w:ascii="Calisto MT" w:hAnsi="Calisto MT"/>
      <w:sz w:val="22"/>
      <w:szCs w:val="22"/>
      <w:lang w:val="en-GB"/>
    </w:rPr>
  </w:style>
  <w:style w:type="character" w:customStyle="1" w:styleId="TITLEChar">
    <w:name w:val="TITLE Char"/>
    <w:rPr>
      <w:rFonts w:ascii="Calisto MT" w:hAnsi="Calisto MT"/>
      <w:b/>
      <w:w w:val="100"/>
      <w:position w:val="-1"/>
      <w:sz w:val="24"/>
      <w:szCs w:val="32"/>
      <w:effect w:val="none"/>
      <w:vertAlign w:val="baseline"/>
      <w:cs w:val="0"/>
      <w:em w:val="none"/>
      <w:lang w:val="en-GB"/>
    </w:rPr>
  </w:style>
  <w:style w:type="character" w:customStyle="1" w:styleId="InstitutionChar">
    <w:name w:val="Institution Char"/>
    <w:rPr>
      <w:rFonts w:ascii="Calisto MT" w:hAnsi="Calisto MT"/>
      <w:w w:val="100"/>
      <w:position w:val="-1"/>
      <w:sz w:val="22"/>
      <w:szCs w:val="22"/>
      <w:effect w:val="none"/>
      <w:vertAlign w:val="baseline"/>
      <w:cs w:val="0"/>
      <w:em w:val="none"/>
      <w:lang w:val="en-GB"/>
    </w:rPr>
  </w:style>
  <w:style w:type="character" w:customStyle="1" w:styleId="AUTHORChar">
    <w:name w:val="AUTHOR Char"/>
    <w:rPr>
      <w:rFonts w:ascii="Calisto MT" w:hAnsi="Calisto MT"/>
      <w:w w:val="100"/>
      <w:position w:val="-1"/>
      <w:sz w:val="22"/>
      <w:szCs w:val="32"/>
      <w:effect w:val="none"/>
      <w:vertAlign w:val="baseline"/>
      <w:cs w:val="0"/>
      <w:em w:val="none"/>
      <w:lang w:val="en-GB"/>
    </w:rPr>
  </w:style>
  <w:style w:type="paragraph" w:customStyle="1" w:styleId="ArticleHistory">
    <w:name w:val="Article History"/>
    <w:basedOn w:val="Normal"/>
    <w:rPr>
      <w:rFonts w:ascii="Calisto MT" w:hAnsi="Calisto MT"/>
      <w:color w:val="000000"/>
      <w:sz w:val="16"/>
      <w:szCs w:val="22"/>
      <w:lang w:val="en-GB"/>
    </w:rPr>
  </w:style>
  <w:style w:type="paragraph" w:customStyle="1" w:styleId="Keyword">
    <w:name w:val="Keyword"/>
    <w:basedOn w:val="Normal"/>
    <w:rPr>
      <w:rFonts w:ascii="Calisto MT" w:hAnsi="Calisto MT"/>
      <w:sz w:val="16"/>
      <w:szCs w:val="22"/>
      <w:lang w:val="en-GB"/>
    </w:rPr>
  </w:style>
  <w:style w:type="character" w:customStyle="1" w:styleId="ArticleHistoryChar">
    <w:name w:val="Article History Char"/>
    <w:rPr>
      <w:rFonts w:ascii="Calisto MT" w:hAnsi="Calisto MT"/>
      <w:color w:val="000000"/>
      <w:w w:val="100"/>
      <w:position w:val="-1"/>
      <w:sz w:val="16"/>
      <w:szCs w:val="22"/>
      <w:effect w:val="none"/>
      <w:vertAlign w:val="baseline"/>
      <w:cs w:val="0"/>
      <w:em w:val="none"/>
      <w:lang w:val="en-GB"/>
    </w:rPr>
  </w:style>
  <w:style w:type="paragraph" w:customStyle="1" w:styleId="BAB">
    <w:name w:val="BAB"/>
    <w:basedOn w:val="Normal"/>
    <w:pPr>
      <w:spacing w:before="240" w:after="240"/>
    </w:pPr>
    <w:rPr>
      <w:rFonts w:ascii="Calisto MT" w:hAnsi="Calisto MT"/>
      <w:b/>
      <w:caps/>
      <w:sz w:val="24"/>
      <w:szCs w:val="22"/>
      <w:lang w:val="en-GB"/>
    </w:rPr>
  </w:style>
  <w:style w:type="character" w:customStyle="1" w:styleId="KeywordChar">
    <w:name w:val="Keyword Char"/>
    <w:rPr>
      <w:rFonts w:ascii="Calisto MT" w:hAnsi="Calisto MT"/>
      <w:w w:val="100"/>
      <w:position w:val="-1"/>
      <w:sz w:val="16"/>
      <w:szCs w:val="22"/>
      <w:effect w:val="none"/>
      <w:vertAlign w:val="baseline"/>
      <w:cs w:val="0"/>
      <w:em w:val="none"/>
      <w:lang w:val="en-GB"/>
    </w:rPr>
  </w:style>
  <w:style w:type="paragraph" w:customStyle="1" w:styleId="Content">
    <w:name w:val="Content"/>
    <w:basedOn w:val="Normal"/>
    <w:pPr>
      <w:spacing w:line="276" w:lineRule="auto"/>
      <w:ind w:firstLine="567"/>
      <w:jc w:val="both"/>
    </w:pPr>
    <w:rPr>
      <w:rFonts w:ascii="Calisto MT" w:hAnsi="Calisto MT"/>
      <w:sz w:val="22"/>
      <w:lang w:val="en-GB"/>
    </w:rPr>
  </w:style>
  <w:style w:type="character" w:customStyle="1" w:styleId="BABChar">
    <w:name w:val="BAB Char"/>
    <w:rPr>
      <w:rFonts w:ascii="Calisto MT" w:hAnsi="Calisto MT"/>
      <w:b/>
      <w:caps/>
      <w:w w:val="100"/>
      <w:position w:val="-1"/>
      <w:sz w:val="24"/>
      <w:szCs w:val="22"/>
      <w:effect w:val="none"/>
      <w:vertAlign w:val="baseline"/>
      <w:cs w:val="0"/>
      <w:em w:val="none"/>
      <w:lang w:val="en-GB"/>
    </w:rPr>
  </w:style>
  <w:style w:type="paragraph" w:customStyle="1" w:styleId="Explanation">
    <w:name w:val="Explanation"/>
    <w:basedOn w:val="Normal"/>
    <w:pPr>
      <w:spacing w:line="276" w:lineRule="auto"/>
    </w:pPr>
    <w:rPr>
      <w:rFonts w:ascii="Calisto MT" w:hAnsi="Calisto MT" w:cs="Calibri"/>
      <w:sz w:val="22"/>
      <w:szCs w:val="22"/>
      <w:lang w:val="id-ID"/>
    </w:rPr>
  </w:style>
  <w:style w:type="paragraph" w:customStyle="1" w:styleId="Table">
    <w:name w:val="Table"/>
    <w:basedOn w:val="TableofFigures"/>
    <w:pPr>
      <w:spacing w:line="276" w:lineRule="auto"/>
    </w:pPr>
    <w:rPr>
      <w:rFonts w:ascii="Calisto MT" w:hAnsi="Calisto MT"/>
      <w:sz w:val="22"/>
      <w:szCs w:val="22"/>
      <w:lang w:val="en-GB"/>
    </w:rPr>
  </w:style>
  <w:style w:type="character" w:customStyle="1" w:styleId="ExplanationChar">
    <w:name w:val="Explanation Char"/>
    <w:rPr>
      <w:rFonts w:ascii="Calisto MT" w:hAnsi="Calisto MT" w:cs="Calibri"/>
      <w:w w:val="100"/>
      <w:position w:val="-1"/>
      <w:sz w:val="22"/>
      <w:szCs w:val="22"/>
      <w:effect w:val="none"/>
      <w:vertAlign w:val="baseline"/>
      <w:cs w:val="0"/>
      <w:em w:val="none"/>
      <w:lang w:val="id-ID"/>
    </w:rPr>
  </w:style>
  <w:style w:type="paragraph" w:customStyle="1" w:styleId="SubBAB">
    <w:name w:val="Sub BAB"/>
    <w:basedOn w:val="Normal"/>
    <w:pPr>
      <w:spacing w:line="276" w:lineRule="auto"/>
      <w:jc w:val="both"/>
    </w:pPr>
    <w:rPr>
      <w:rFonts w:ascii="Calisto MT" w:hAnsi="Calisto MT"/>
      <w:b/>
      <w:sz w:val="22"/>
      <w:szCs w:val="22"/>
      <w:lang w:val="en-GB"/>
    </w:rPr>
  </w:style>
  <w:style w:type="paragraph" w:styleId="TableofFigures">
    <w:name w:val="table of figures"/>
    <w:basedOn w:val="Normal"/>
    <w:next w:val="Normal"/>
    <w:qFormat/>
  </w:style>
  <w:style w:type="character" w:customStyle="1" w:styleId="TableofFiguresChar">
    <w:name w:val="Table of Figures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TableChar">
    <w:name w:val="Table Char"/>
    <w:rPr>
      <w:rFonts w:ascii="Calisto MT" w:hAnsi="Calisto MT"/>
      <w:w w:val="100"/>
      <w:position w:val="-1"/>
      <w:sz w:val="22"/>
      <w:szCs w:val="22"/>
      <w:effect w:val="none"/>
      <w:vertAlign w:val="baseline"/>
      <w:cs w:val="0"/>
      <w:em w:val="none"/>
      <w:lang w:val="en-GB"/>
    </w:rPr>
  </w:style>
  <w:style w:type="paragraph" w:customStyle="1" w:styleId="SubSubBAB">
    <w:name w:val="Sub Sub BAB"/>
    <w:basedOn w:val="ListParagraphBodyoftextListParagraph1ColorfulList-Accent11Bodyoftext2Bodyoftext1ListParagraph11Bodyoftext1Bodyoftext3soaljawabMediumGrid1-Accent21BodyoftextCxSp"/>
    <w:pPr>
      <w:spacing w:after="0" w:line="240" w:lineRule="auto"/>
      <w:ind w:left="0"/>
      <w:jc w:val="both"/>
    </w:pPr>
    <w:rPr>
      <w:rFonts w:ascii="Calisto MT" w:hAnsi="Calisto MT"/>
      <w:i/>
      <w:lang w:val="en-GB"/>
    </w:rPr>
  </w:style>
  <w:style w:type="paragraph" w:customStyle="1" w:styleId="References">
    <w:name w:val="References"/>
    <w:basedOn w:val="Normal"/>
    <w:pPr>
      <w:widowControl w:val="0"/>
      <w:autoSpaceDE w:val="0"/>
      <w:autoSpaceDN w:val="0"/>
      <w:adjustRightInd w:val="0"/>
      <w:spacing w:line="276" w:lineRule="auto"/>
      <w:ind w:left="567" w:hanging="567"/>
      <w:jc w:val="both"/>
    </w:pPr>
    <w:rPr>
      <w:rFonts w:ascii="Calisto MT" w:hAnsi="Calisto MT"/>
      <w:szCs w:val="24"/>
      <w:lang w:val="en-GB"/>
    </w:rPr>
  </w:style>
  <w:style w:type="character" w:customStyle="1" w:styleId="SubSubBABChar">
    <w:name w:val="Sub Sub BAB Char"/>
    <w:rPr>
      <w:rFonts w:ascii="Calisto MT" w:hAnsi="Calisto MT"/>
      <w:i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AbstractChar">
    <w:name w:val="Abstract Char"/>
    <w:rPr>
      <w:rFonts w:ascii="Calisto MT" w:eastAsia="SimSun" w:hAnsi="Calisto MT"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ISI">
    <w:name w:val="ISI"/>
    <w:basedOn w:val="Normal"/>
    <w:pPr>
      <w:autoSpaceDE w:val="0"/>
      <w:autoSpaceDN w:val="0"/>
      <w:adjustRightInd w:val="0"/>
      <w:spacing w:line="288" w:lineRule="auto"/>
      <w:ind w:firstLine="547"/>
      <w:jc w:val="both"/>
      <w:textAlignment w:val="center"/>
    </w:pPr>
    <w:rPr>
      <w:rFonts w:ascii="Calisto MT" w:eastAsia="Calibri" w:hAnsi="Calisto MT" w:cs="Calisto MT"/>
      <w:color w:val="000000"/>
      <w:sz w:val="22"/>
      <w:szCs w:val="22"/>
      <w:lang w:val="fi-FI"/>
    </w:rPr>
  </w:style>
  <w:style w:type="table" w:customStyle="1" w:styleId="a"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F67879"/>
    <w:rPr>
      <w:color w:val="605E5C"/>
      <w:shd w:val="clear" w:color="auto" w:fill="E1DFDD"/>
    </w:rPr>
  </w:style>
  <w:style w:type="paragraph" w:customStyle="1" w:styleId="JPBIAbstractText">
    <w:name w:val="JPBI AbstractText"/>
    <w:rsid w:val="00F05847"/>
    <w:pPr>
      <w:spacing w:after="80" w:line="200" w:lineRule="exact"/>
      <w:jc w:val="both"/>
    </w:pPr>
    <w:rPr>
      <w:rFonts w:ascii="Arial Narrow" w:hAnsi="Arial Narrow"/>
      <w:sz w:val="18"/>
      <w:lang w:val="en-US"/>
    </w:rPr>
  </w:style>
  <w:style w:type="table" w:styleId="GridTable4-Accent5">
    <w:name w:val="Grid Table 4 Accent 5"/>
    <w:basedOn w:val="TableNormal"/>
    <w:uiPriority w:val="49"/>
    <w:rsid w:val="00AC70A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202014"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4.0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n6srAL38UReaZ9DXCkhi0sxCeQ==">CgMxLjA4AHIhMWZNVDhXUFJ6YXd0SlRJY3lUSDdObWplb3lQYlpWeWlm</go:docsCustomData>
</go:gDocsCustomXmlDataStorage>
</file>

<file path=customXml/itemProps1.xml><?xml version="1.0" encoding="utf-8"?>
<ds:datastoreItem xmlns:ds="http://schemas.openxmlformats.org/officeDocument/2006/customXml" ds:itemID="{0C077463-9451-4EFE-B9BE-723C4ABBDC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4097</Words>
  <Characters>23359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cairo</dc:creator>
  <cp:lastModifiedBy>Macbook</cp:lastModifiedBy>
  <cp:revision>2</cp:revision>
  <cp:lastPrinted>2025-12-27T16:22:00Z</cp:lastPrinted>
  <dcterms:created xsi:type="dcterms:W3CDTF">2026-06-12T17:00:00Z</dcterms:created>
  <dcterms:modified xsi:type="dcterms:W3CDTF">2026-06-12T17:00:00Z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http://csl.mendeley.com/styles/660358831/apa-2</vt:lpwstr>
  </property>
  <property fmtid="{D5CDD505-2E9C-101B-9397-08002B2CF9AE}" pid="7" name="Mendeley Recent Style Name 2_1">
    <vt:lpwstr>American Psychological Association 7th edition - Dede Al Mustaqim 2</vt:lpwstr>
  </property>
  <property fmtid="{D5CDD505-2E9C-101B-9397-08002B2CF9AE}" pid="8" name="Mendeley Recent Style Id 3_1">
    <vt:lpwstr>http://csl.mendeley.com/styles/660358831/apa-4</vt:lpwstr>
  </property>
  <property fmtid="{D5CDD505-2E9C-101B-9397-08002B2CF9AE}" pid="9" name="Mendeley Recent Style Name 3_1">
    <vt:lpwstr>American Psychological Association 7th edition - Dede Al Mustaqim 2 - Dede Al Mustaqim</vt:lpwstr>
  </property>
  <property fmtid="{D5CDD505-2E9C-101B-9397-08002B2CF9AE}" pid="10" name="Mendeley Recent Style Id 4_1">
    <vt:lpwstr>http://csl.mendeley.com/styles/660358831/apa-5</vt:lpwstr>
  </property>
  <property fmtid="{D5CDD505-2E9C-101B-9397-08002B2CF9AE}" pid="11" name="Mendeley Recent Style Name 4_1">
    <vt:lpwstr>American Psychological Association 7th edition - Dede Al Mustaqim 2 - Dede Al Mustaqim</vt:lpwstr>
  </property>
  <property fmtid="{D5CDD505-2E9C-101B-9397-08002B2CF9AE}" pid="12" name="Mendeley Recent Style Id 5_1">
    <vt:lpwstr>http://csl.mendeley.com/styles/660358831/apa-3</vt:lpwstr>
  </property>
  <property fmtid="{D5CDD505-2E9C-101B-9397-08002B2CF9AE}" pid="13" name="Mendeley Recent Style Name 5_1">
    <vt:lpwstr>American Psychological Association 7th edition - esay akuntansi</vt:lpwstr>
  </property>
  <property fmtid="{D5CDD505-2E9C-101B-9397-08002B2CF9AE}" pid="14" name="Mendeley Recent Style Id 6_1">
    <vt:lpwstr>http://www.zotero.org/styles/chicago-fullnote-bibliography</vt:lpwstr>
  </property>
  <property fmtid="{D5CDD505-2E9C-101B-9397-08002B2CF9AE}" pid="15" name="Mendeley Recent Style Name 6_1">
    <vt:lpwstr>Chicago Manual of Style 17th edition (full note)</vt:lpwstr>
  </property>
  <property fmtid="{D5CDD505-2E9C-101B-9397-08002B2CF9AE}" pid="16" name="Mendeley Recent Style Id 7_1">
    <vt:lpwstr>http://www.zotero.org/styles/harvard1</vt:lpwstr>
  </property>
  <property fmtid="{D5CDD505-2E9C-101B-9397-08002B2CF9AE}" pid="17" name="Mendeley Recent Style Name 7_1">
    <vt:lpwstr>Harvard reference format 1 (deprecated)</vt:lpwstr>
  </property>
  <property fmtid="{D5CDD505-2E9C-101B-9397-08002B2CF9AE}" pid="18" name="Mendeley Recent Style Id 8_1">
    <vt:lpwstr>http://www.zotero.org/styles/ieee</vt:lpwstr>
  </property>
  <property fmtid="{D5CDD505-2E9C-101B-9397-08002B2CF9AE}" pid="19" name="Mendeley Recent Style Name 8_1">
    <vt:lpwstr>IEEE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464973d5-43b6-3840-866f-ba6563cd7913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f9c91108bb7fa934bfaab1d95f353dfa706c25434401e9a7825fdf34c56bc1b4</vt:lpwstr>
  </property>
</Properties>
</file>